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оценке проекта акта (экспертизе акта)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сведения: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center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Регулирующий орган:</w:t>
      </w:r>
      <w:r>
        <w:rPr>
          <w:rFonts w:ascii="Times New Roman" w:hAnsi="Times New Roman"/>
          <w:sz w:val="28"/>
          <w:szCs w:val="28"/>
          <w:u w:val="single"/>
        </w:rPr>
        <w:t xml:space="preserve">  А</w:t>
      </w:r>
      <w:r>
        <w:rPr>
          <w:rFonts w:ascii="Times New Roman" w:hAnsi="Times New Roman"/>
          <w:sz w:val="28"/>
          <w:szCs w:val="28"/>
          <w:u w:val="single"/>
        </w:rPr>
        <w:t xml:space="preserve">дминистраци</w:t>
      </w:r>
      <w:r>
        <w:rPr>
          <w:rFonts w:ascii="Times New Roman" w:hAnsi="Times New Roman"/>
          <w:sz w:val="28"/>
          <w:szCs w:val="28"/>
          <w:u w:val="single"/>
        </w:rPr>
        <w:t xml:space="preserve">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Бутурлинского </w:t>
      </w:r>
      <w:r>
        <w:rPr>
          <w:rFonts w:ascii="Times New Roman" w:hAnsi="Times New Roman"/>
          <w:sz w:val="28"/>
          <w:szCs w:val="28"/>
          <w:u w:val="single"/>
        </w:rPr>
        <w:t xml:space="preserve">муниципального </w:t>
      </w:r>
      <w:r>
        <w:rPr>
          <w:rFonts w:ascii="Times New Roman" w:hAnsi="Times New Roman"/>
          <w:sz w:val="28"/>
          <w:szCs w:val="28"/>
          <w:u w:val="single"/>
        </w:rPr>
        <w:t xml:space="preserve">округа Нижегородской области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 наименование регулирующего органа)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Наименование регулирующего акта: </w:t>
      </w:r>
      <w:r>
        <w:rPr>
          <w:rFonts w:ascii="Times New Roman" w:hAnsi="Times New Roman"/>
          <w:sz w:val="28"/>
          <w:szCs w:val="28"/>
        </w:rPr>
        <w:t xml:space="preserve">проект  решения Совета депутатов</w:t>
      </w:r>
      <w:r>
        <w:rPr>
          <w:rFonts w:ascii="Times New Roman" w:hAnsi="Times New Roman"/>
          <w:sz w:val="28"/>
          <w:szCs w:val="28"/>
        </w:rPr>
        <w:t xml:space="preserve"> Бутурлинского муниципального округа Нижегородской области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</w:rPr>
        <w:t xml:space="preserve">Положение о муниципальном </w:t>
      </w:r>
      <w:r>
        <w:rPr>
          <w:rFonts w:ascii="Times New Roman" w:hAnsi="Times New Roman"/>
          <w:sz w:val="28"/>
        </w:rPr>
        <w:t xml:space="preserve">жилищном</w:t>
      </w:r>
      <w:r>
        <w:rPr>
          <w:rFonts w:ascii="Times New Roman" w:hAnsi="Times New Roman"/>
          <w:sz w:val="28"/>
        </w:rPr>
        <w:t xml:space="preserve">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 от </w:t>
      </w:r>
      <w:r>
        <w:rPr>
          <w:rFonts w:ascii="Times New Roman" w:hAnsi="Times New Roman"/>
          <w:sz w:val="28"/>
        </w:rPr>
        <w:t xml:space="preserve">29 июля</w:t>
      </w:r>
      <w:r>
        <w:rPr>
          <w:rFonts w:ascii="Times New Roman" w:hAnsi="Times New Roman"/>
          <w:sz w:val="28"/>
        </w:rPr>
        <w:t xml:space="preserve"> 2025 г. № 51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838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Проблем при проведении публичных консультаций выявлено не было.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9"/>
        <w:ind w:firstLine="426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Цель введения акта: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Утверждение  </w:t>
      </w:r>
      <w:r>
        <w:rPr>
          <w:rFonts w:ascii="Times New Roman" w:hAnsi="Times New Roman"/>
          <w:sz w:val="28"/>
          <w:szCs w:val="28"/>
        </w:rPr>
        <w:t xml:space="preserve">решения Совета депутатов</w:t>
      </w:r>
      <w:r>
        <w:rPr>
          <w:rFonts w:ascii="Times New Roman" w:hAnsi="Times New Roman"/>
          <w:sz w:val="28"/>
          <w:szCs w:val="28"/>
        </w:rPr>
        <w:t xml:space="preserve"> Бутурлинского муниципального округа Нижегородской области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</w:rPr>
        <w:t xml:space="preserve">Положение о муниципальном </w:t>
      </w:r>
      <w:r>
        <w:rPr>
          <w:rFonts w:ascii="Times New Roman" w:hAnsi="Times New Roman"/>
          <w:sz w:val="28"/>
        </w:rPr>
        <w:t xml:space="preserve">жилищном</w:t>
      </w:r>
      <w:r>
        <w:rPr>
          <w:rFonts w:ascii="Times New Roman" w:hAnsi="Times New Roman"/>
          <w:sz w:val="28"/>
        </w:rPr>
        <w:t xml:space="preserve">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 от </w:t>
      </w:r>
      <w:r>
        <w:rPr>
          <w:rFonts w:ascii="Times New Roman" w:hAnsi="Times New Roman"/>
          <w:sz w:val="28"/>
        </w:rPr>
        <w:t xml:space="preserve">29 июля</w:t>
      </w:r>
      <w:r>
        <w:rPr>
          <w:rFonts w:ascii="Times New Roman" w:hAnsi="Times New Roman"/>
          <w:sz w:val="28"/>
        </w:rPr>
        <w:t xml:space="preserve"> 2025 г. № 51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numPr>
          <w:ilvl w:val="0"/>
          <w:numId w:val="1"/>
        </w:numPr>
        <w:ind w:firstLine="426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регулирования: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Основные цели регулирования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реализация</w:t>
      </w:r>
      <w:r>
        <w:rPr>
          <w:rFonts w:ascii="Times New Roman" w:hAnsi="Times New Roman"/>
          <w:sz w:val="28"/>
          <w:szCs w:val="28"/>
        </w:rPr>
        <w:t xml:space="preserve"> Федерального закона от 31.07.2020 г. № 248-ФЗ «О государственном контроле (надзоре) и муниципальном контроле в Российской Федерации», приведение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Положения </w:t>
      </w:r>
      <w:r>
        <w:rPr>
          <w:rFonts w:ascii="Times New Roman" w:hAnsi="Times New Roman"/>
          <w:sz w:val="28"/>
        </w:rPr>
        <w:t xml:space="preserve">о муниципальном </w:t>
      </w:r>
      <w:r>
        <w:rPr>
          <w:rFonts w:ascii="Times New Roman" w:hAnsi="Times New Roman"/>
          <w:sz w:val="28"/>
        </w:rPr>
        <w:t xml:space="preserve">жилищном</w:t>
      </w:r>
      <w:r>
        <w:rPr>
          <w:rFonts w:ascii="Times New Roman" w:hAnsi="Times New Roman"/>
          <w:sz w:val="28"/>
        </w:rPr>
        <w:t xml:space="preserve"> контроле </w:t>
      </w:r>
      <w:r>
        <w:rPr>
          <w:rFonts w:ascii="Times New Roman" w:hAnsi="Times New Roman"/>
          <w:sz w:val="28"/>
        </w:rPr>
        <w:t xml:space="preserve"> на территории Бутурлинского муниципального округа Нижегородской области, утвержденного решением Совета депутатов Бутурлинского му</w:t>
      </w:r>
      <w:r>
        <w:rPr>
          <w:rFonts w:ascii="Times New Roman" w:hAnsi="Times New Roman"/>
          <w:sz w:val="28"/>
        </w:rPr>
        <w:t xml:space="preserve">ниципального округа Нижегородской области 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29 июля</w:t>
      </w:r>
      <w:r>
        <w:rPr>
          <w:rFonts w:ascii="Times New Roman" w:hAnsi="Times New Roman"/>
          <w:sz w:val="28"/>
        </w:rPr>
        <w:t xml:space="preserve"> 2025 г. № 51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в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с</w:t>
      </w:r>
      <w:r>
        <w:rPr>
          <w:rFonts w:ascii="Times New Roman" w:hAnsi="Times New Roman"/>
          <w:sz w:val="28"/>
          <w:highlight w:val="white"/>
        </w:rPr>
        <w:t xml:space="preserve">о</w:t>
      </w:r>
      <w:r>
        <w:rPr>
          <w:rFonts w:ascii="Times New Roman" w:hAnsi="Times New Roman"/>
          <w:sz w:val="28"/>
          <w:highlight w:val="white"/>
        </w:rPr>
        <w:t xml:space="preserve">о</w:t>
      </w:r>
      <w:r>
        <w:rPr>
          <w:rFonts w:ascii="Times New Roman" w:hAnsi="Times New Roman"/>
          <w:sz w:val="28"/>
          <w:highlight w:val="white"/>
        </w:rPr>
        <w:t xml:space="preserve">т</w:t>
      </w:r>
      <w:r>
        <w:rPr>
          <w:rFonts w:ascii="Times New Roman" w:hAnsi="Times New Roman"/>
          <w:sz w:val="28"/>
          <w:highlight w:val="white"/>
        </w:rPr>
        <w:t xml:space="preserve">в</w:t>
      </w:r>
      <w:r>
        <w:rPr>
          <w:rFonts w:ascii="Times New Roman" w:hAnsi="Times New Roman"/>
          <w:sz w:val="28"/>
          <w:highlight w:val="white"/>
        </w:rPr>
        <w:t xml:space="preserve">е</w:t>
      </w:r>
      <w:r>
        <w:rPr>
          <w:rFonts w:ascii="Times New Roman" w:hAnsi="Times New Roman"/>
          <w:sz w:val="28"/>
          <w:highlight w:val="white"/>
        </w:rPr>
        <w:t xml:space="preserve">т</w:t>
      </w:r>
      <w:r>
        <w:rPr>
          <w:rFonts w:ascii="Times New Roman" w:hAnsi="Times New Roman"/>
          <w:sz w:val="28"/>
          <w:highlight w:val="white"/>
        </w:rPr>
        <w:t xml:space="preserve">ст</w:t>
      </w:r>
      <w:r>
        <w:rPr>
          <w:rFonts w:ascii="Times New Roman" w:hAnsi="Times New Roman"/>
          <w:sz w:val="28"/>
          <w:highlight w:val="white"/>
        </w:rPr>
        <w:t xml:space="preserve">в</w:t>
      </w:r>
      <w:r>
        <w:rPr>
          <w:rFonts w:ascii="Times New Roman" w:hAnsi="Times New Roman"/>
          <w:sz w:val="28"/>
          <w:highlight w:val="white"/>
        </w:rPr>
        <w:t xml:space="preserve">и</w:t>
      </w:r>
      <w:r>
        <w:rPr>
          <w:rFonts w:ascii="Times New Roman" w:hAnsi="Times New Roman"/>
          <w:sz w:val="28"/>
          <w:highlight w:val="white"/>
        </w:rPr>
        <w:t xml:space="preserve">е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с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д</w:t>
      </w:r>
      <w:r>
        <w:rPr>
          <w:rFonts w:ascii="Times New Roman" w:hAnsi="Times New Roman"/>
          <w:sz w:val="28"/>
          <w:highlight w:val="white"/>
        </w:rPr>
        <w:t xml:space="preserve">е</w:t>
      </w:r>
      <w:r>
        <w:rPr>
          <w:rFonts w:ascii="Times New Roman" w:hAnsi="Times New Roman"/>
          <w:sz w:val="28"/>
          <w:highlight w:val="white"/>
        </w:rPr>
        <w:t xml:space="preserve">й</w:t>
      </w:r>
      <w:r>
        <w:rPr>
          <w:rFonts w:ascii="Times New Roman" w:hAnsi="Times New Roman"/>
          <w:sz w:val="28"/>
          <w:highlight w:val="white"/>
        </w:rPr>
        <w:t xml:space="preserve">с</w:t>
      </w:r>
      <w:r>
        <w:rPr>
          <w:rFonts w:ascii="Times New Roman" w:hAnsi="Times New Roman"/>
          <w:sz w:val="28"/>
          <w:highlight w:val="white"/>
        </w:rPr>
        <w:t xml:space="preserve">т</w:t>
      </w:r>
      <w:r>
        <w:rPr>
          <w:rFonts w:ascii="Times New Roman" w:hAnsi="Times New Roman"/>
          <w:sz w:val="28"/>
          <w:highlight w:val="white"/>
        </w:rPr>
        <w:t xml:space="preserve">в</w:t>
      </w:r>
      <w:r>
        <w:rPr>
          <w:rFonts w:ascii="Times New Roman" w:hAnsi="Times New Roman"/>
          <w:sz w:val="28"/>
          <w:highlight w:val="white"/>
        </w:rPr>
        <w:t xml:space="preserve">у</w:t>
      </w:r>
      <w:r>
        <w:rPr>
          <w:rFonts w:ascii="Times New Roman" w:hAnsi="Times New Roman"/>
          <w:sz w:val="28"/>
          <w:highlight w:val="white"/>
        </w:rPr>
        <w:t xml:space="preserve">ю</w:t>
      </w:r>
      <w:r>
        <w:rPr>
          <w:rFonts w:ascii="Times New Roman" w:hAnsi="Times New Roman"/>
          <w:sz w:val="28"/>
          <w:highlight w:val="white"/>
        </w:rPr>
        <w:t xml:space="preserve">щим законодательством.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Возможные варианты достижения поставленной цели: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Невмешательство: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не предполагается.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Совершенствование применения существующего регулирования:  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не предполагается.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Саморегулирование: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не предполагается.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Прямое государственное регулирование: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реализуется в представленном проекте.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Какие инструменты могут быть использованы для достижения поставленной цели?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Утверждение регулирующего акта.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Качественное описание и количественная оценка соответствующего воздействия (если возможно):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numPr>
          <w:ilvl w:val="0"/>
          <w:numId w:val="1"/>
        </w:numPr>
        <w:ind w:firstLine="426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консультации: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Стороны, с которыми были проведены консультации: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ИП Урусова Т.П.;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ИП Шибаев А.В.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ИП Недугова М.Е;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Общественный помощник Уполномоченного по защите прав предпринимателей Нижегородской облас</w:t>
      </w:r>
      <w:r>
        <w:rPr>
          <w:rFonts w:ascii="Times New Roman" w:hAnsi="Times New Roman"/>
          <w:sz w:val="28"/>
          <w:szCs w:val="28"/>
          <w:u w:val="single"/>
        </w:rPr>
        <w:t xml:space="preserve">ти;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Совет предпринимателей Бутурлинского муниципального округа Нижегородской области;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Нижегородское региональное отделение «Опоры России»;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9"/>
        <w:contextualSpacing/>
        <w:jc w:val="both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Автономная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некоммерческая организация Нижегородский центр общественных процедур «Бизнес против коррупции»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  <w:u w:val="singl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Основные результаты консультаций:</w:t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процессе проведения публичных консультаций участниками публичных консультаций был одобрен проект правового акта, </w:t>
      </w:r>
      <w:r>
        <w:rPr>
          <w:rFonts w:ascii="Times New Roman" w:hAnsi="Times New Roman"/>
          <w:sz w:val="28"/>
          <w:szCs w:val="28"/>
        </w:rPr>
        <w:t xml:space="preserve">отмечена его актуальность.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Поступило замечание  Автономной </w:t>
      </w:r>
      <w:r>
        <w:rPr>
          <w:rFonts w:ascii="Times New Roman" w:hAnsi="Times New Roman"/>
          <w:sz w:val="28"/>
          <w:szCs w:val="28"/>
        </w:rPr>
        <w:t xml:space="preserve">некоммерческой организации Нижегородский центр общественных процедур «Бизнес против коррупции»</w:t>
      </w:r>
      <w:r>
        <w:rPr>
          <w:rFonts w:ascii="Times New Roman" w:hAnsi="Times New Roman"/>
          <w:sz w:val="28"/>
          <w:szCs w:val="28"/>
          <w:highlight w:val="none"/>
        </w:rPr>
        <w:t xml:space="preserve"> о расширении перечня профилактических мероприятий, проводимых дистанционно, а также внедрении автоматизированной системы оценки добросовестности контролируемых лиц на основе данных, имеющихся в распоряжении администрации.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Замечание будет учтено при принятии нового НПА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numPr>
          <w:ilvl w:val="0"/>
          <w:numId w:val="1"/>
        </w:numPr>
        <w:ind w:firstLine="426"/>
        <w:jc w:val="center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Рекомендуемый вариант регулирующего решения: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Описание выбранного варианта (пр</w:t>
      </w:r>
      <w:r>
        <w:rPr>
          <w:rFonts w:ascii="Times New Roman" w:hAnsi="Times New Roman"/>
          <w:sz w:val="28"/>
          <w:szCs w:val="28"/>
        </w:rPr>
        <w:t xml:space="preserve">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регулирования</w:t>
      </w:r>
      <w:r>
        <w:rPr>
          <w:rFonts w:ascii="Times New Roman" w:hAnsi="Times New Roman"/>
          <w:b w:val="0"/>
          <w:bCs w:val="0"/>
          <w:sz w:val="28"/>
          <w:szCs w:val="28"/>
          <w:u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Принятие </w:t>
      </w:r>
      <w:r>
        <w:rPr>
          <w:rFonts w:ascii="Times New Roman" w:hAnsi="Times New Roman"/>
          <w:sz w:val="28"/>
          <w:szCs w:val="28"/>
        </w:rPr>
        <w:t xml:space="preserve">решения Совета депутатов</w:t>
      </w:r>
      <w:r>
        <w:rPr>
          <w:rFonts w:ascii="Times New Roman" w:hAnsi="Times New Roman"/>
          <w:sz w:val="28"/>
          <w:szCs w:val="28"/>
        </w:rPr>
        <w:t xml:space="preserve"> Бутурлинского муниципального округа Нижегородской области «О внесении изменений в </w:t>
      </w:r>
      <w:r>
        <w:rPr>
          <w:rFonts w:ascii="Times New Roman" w:hAnsi="Times New Roman"/>
          <w:sz w:val="28"/>
        </w:rPr>
        <w:t xml:space="preserve">Положение о муниципальном жилищном контроле на территории Бутурлинского муниципального округа Нижегородской области, утвержденное решением Совета депутатов Бутурлинского му</w:t>
      </w:r>
      <w:r>
        <w:rPr>
          <w:rFonts w:ascii="Times New Roman" w:hAnsi="Times New Roman"/>
          <w:sz w:val="28"/>
        </w:rPr>
        <w:t xml:space="preserve">ниципального округа Нижегородской области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29 июля</w:t>
      </w:r>
      <w:r>
        <w:rPr>
          <w:rFonts w:ascii="Times New Roman" w:hAnsi="Times New Roman"/>
          <w:sz w:val="28"/>
        </w:rPr>
        <w:t xml:space="preserve"> 2025 г. № 51»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Ожидаемые выгоды и издержки от реализации выбранного варианта:</w:t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/>
          <w:sz w:val="28"/>
          <w:szCs w:val="28"/>
          <w:highlight w:val="none"/>
          <w:u w:val="single"/>
        </w:rPr>
      </w:r>
    </w:p>
    <w:p>
      <w:pPr>
        <w:pStyle w:val="839"/>
        <w:ind w:firstLine="426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Создание единых правил на осуществление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жилищного </w:t>
      </w:r>
      <w:r>
        <w:rPr>
          <w:sz w:val="28"/>
          <w:szCs w:val="28"/>
        </w:rPr>
        <w:t xml:space="preserve">контрол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территории Бутурлинского муниципального округа Нижегородской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Необходимые меры, позволяющие минимизировать негативные последствия применения соответствующего варианта: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</w:rPr>
        <w:t xml:space="preserve">Негативных последствий не ожидается.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 w:firstLine="426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Период воздействия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 Предполагается долгосрочный период воздействия.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numPr>
          <w:ilvl w:val="0"/>
          <w:numId w:val="2"/>
        </w:numPr>
        <w:jc w:val="center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Информация об исполнителях: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Шевырова Татьяна Вячеславовна</w:t>
      </w:r>
      <w:r>
        <w:rPr>
          <w:rFonts w:ascii="Times New Roman" w:hAnsi="Times New Roman"/>
          <w:sz w:val="28"/>
          <w:szCs w:val="28"/>
          <w:u w:val="single"/>
        </w:rPr>
        <w:t xml:space="preserve">,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ко</w:t>
      </w:r>
      <w:r>
        <w:rPr>
          <w:rFonts w:ascii="Times New Roman" w:hAnsi="Times New Roman"/>
          <w:sz w:val="28"/>
          <w:szCs w:val="28"/>
          <w:u w:val="single"/>
        </w:rPr>
        <w:t xml:space="preserve">нсультант отдела имущественных, земельных отношений и жилищной политики </w:t>
      </w:r>
      <w:r>
        <w:rPr>
          <w:rFonts w:ascii="Times New Roman" w:hAnsi="Times New Roman"/>
          <w:sz w:val="28"/>
          <w:szCs w:val="28"/>
        </w:rPr>
        <w:t xml:space="preserve">администрации Бутурлинского </w:t>
      </w:r>
      <w:r>
        <w:rPr>
          <w:rFonts w:ascii="Times New Roman" w:hAnsi="Times New Roman"/>
          <w:sz w:val="28"/>
          <w:szCs w:val="28"/>
        </w:rPr>
        <w:t xml:space="preserve">муниципального округа Нижегородской области, тел. 8 (83172) 5-</w:t>
      </w:r>
      <w:r>
        <w:rPr>
          <w:rFonts w:ascii="Times New Roman" w:hAnsi="Times New Roman"/>
          <w:sz w:val="28"/>
          <w:szCs w:val="28"/>
        </w:rPr>
        <w:t xml:space="preserve">17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, 5-31-28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kumi</w:t>
      </w:r>
      <w:r>
        <w:fldChar w:fldCharType="begin"/>
      </w:r>
      <w:r>
        <w:instrText xml:space="preserve"> HYPERLINK "mailto:kontrol@adm.but.nnov.ru" </w:instrText>
      </w:r>
      <w:r>
        <w:fldChar w:fldCharType="separate"/>
      </w:r>
      <w:r>
        <w:rPr>
          <w:rStyle w:val="841"/>
          <w:rFonts w:ascii="Times New Roman" w:hAnsi="Times New Roman"/>
          <w:color w:val="auto"/>
          <w:sz w:val="28"/>
          <w:szCs w:val="28"/>
        </w:rPr>
        <w:t xml:space="preserve">@</w:t>
      </w:r>
      <w:r>
        <w:rPr>
          <w:rStyle w:val="841"/>
          <w:rFonts w:ascii="Times New Roman" w:hAnsi="Times New Roman"/>
          <w:color w:val="auto"/>
          <w:sz w:val="28"/>
          <w:szCs w:val="28"/>
          <w:lang w:val="en-US"/>
        </w:rPr>
        <w:t xml:space="preserve">adm</w:t>
      </w:r>
      <w:r>
        <w:rPr>
          <w:rStyle w:val="841"/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Style w:val="841"/>
          <w:rFonts w:ascii="Times New Roman" w:hAnsi="Times New Roman"/>
          <w:color w:val="auto"/>
          <w:sz w:val="28"/>
          <w:szCs w:val="28"/>
          <w:lang w:val="en-US"/>
        </w:rPr>
        <w:t xml:space="preserve">but</w:t>
      </w:r>
      <w:r>
        <w:rPr>
          <w:rStyle w:val="841"/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Style w:val="841"/>
          <w:rFonts w:ascii="Times New Roman" w:hAnsi="Times New Roman"/>
          <w:color w:val="auto"/>
          <w:sz w:val="28"/>
          <w:szCs w:val="28"/>
          <w:lang w:val="en-US"/>
        </w:rPr>
        <w:t xml:space="preserve">nnov</w:t>
      </w:r>
      <w:r>
        <w:rPr>
          <w:rStyle w:val="841"/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Style w:val="841"/>
          <w:rFonts w:ascii="Times New Roman" w:hAnsi="Times New Roman"/>
          <w:color w:val="auto"/>
          <w:sz w:val="28"/>
          <w:szCs w:val="28"/>
          <w:lang w:val="en-US"/>
        </w:rPr>
        <w:t xml:space="preserve">ru</w:t>
      </w:r>
      <w:r>
        <w:rPr>
          <w:rStyle w:val="841"/>
          <w:rFonts w:ascii="Times New Roman" w:hAnsi="Times New Roman"/>
          <w:color w:val="auto"/>
          <w:sz w:val="28"/>
          <w:szCs w:val="28"/>
          <w:lang w:val="en-US"/>
        </w:rPr>
        <w:fldChar w:fldCharType="end"/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8"/>
        <w:ind w:left="0"/>
        <w:spacing w:line="240" w:lineRule="auto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sz w:val="28"/>
          <w:szCs w:val="28"/>
          <w:highlight w:val="yellow"/>
          <w:u w:val="single"/>
        </w:rPr>
      </w:r>
      <w:r>
        <w:rPr>
          <w:rFonts w:ascii="Times New Roman" w:hAnsi="Times New Roman"/>
          <w:sz w:val="28"/>
          <w:szCs w:val="28"/>
          <w:highlight w:val="yellow"/>
          <w:u w:val="single"/>
        </w:rPr>
      </w:r>
      <w:r>
        <w:rPr>
          <w:rFonts w:ascii="Times New Roman" w:hAnsi="Times New Roman"/>
          <w:sz w:val="28"/>
          <w:szCs w:val="28"/>
          <w:highlight w:val="yellow"/>
          <w:u w:val="single"/>
        </w:rPr>
      </w:r>
    </w:p>
    <w:p>
      <w:pPr>
        <w:pStyle w:val="838"/>
        <w:ind w:left="0"/>
        <w:spacing w:line="240" w:lineRule="auto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sz w:val="28"/>
          <w:szCs w:val="28"/>
          <w:highlight w:val="yellow"/>
          <w:u w:val="single"/>
        </w:rPr>
      </w:r>
      <w:r>
        <w:rPr>
          <w:rFonts w:ascii="Times New Roman" w:hAnsi="Times New Roman"/>
          <w:sz w:val="28"/>
          <w:szCs w:val="28"/>
          <w:highlight w:val="yellow"/>
          <w:u w:val="single"/>
        </w:rPr>
      </w:r>
      <w:r>
        <w:rPr>
          <w:rFonts w:ascii="Times New Roman" w:hAnsi="Times New Roman"/>
          <w:sz w:val="28"/>
          <w:szCs w:val="28"/>
          <w:highlight w:val="yellow"/>
          <w:u w:val="singl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 имущественных,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земельных отношений и жилищной политики                                 Н.В. Панкратова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8"/>
        <w:ind w:left="1146"/>
        <w:spacing w:line="240" w:lineRule="auto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40" w:right="851" w:bottom="71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4"/>
    <w:next w:val="834"/>
    <w:link w:val="66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0">
    <w:name w:val="Heading 1 Char"/>
    <w:basedOn w:val="835"/>
    <w:link w:val="65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2">
    <w:name w:val="Heading 2 Char"/>
    <w:basedOn w:val="835"/>
    <w:link w:val="661"/>
    <w:uiPriority w:val="9"/>
    <w:rPr>
      <w:rFonts w:ascii="Liberation Sans" w:hAnsi="Liberation Sans" w:eastAsia="Liberation Sans" w:cs="Liberation Sans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4">
    <w:name w:val="Heading 3 Char"/>
    <w:basedOn w:val="835"/>
    <w:link w:val="66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6">
    <w:name w:val="Heading 4 Char"/>
    <w:basedOn w:val="835"/>
    <w:link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8">
    <w:name w:val="Heading 5 Char"/>
    <w:basedOn w:val="835"/>
    <w:link w:val="66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0">
    <w:name w:val="Heading 6 Char"/>
    <w:basedOn w:val="835"/>
    <w:link w:val="66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2">
    <w:name w:val="Heading 7 Char"/>
    <w:basedOn w:val="835"/>
    <w:link w:val="67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4">
    <w:name w:val="Heading 8 Char"/>
    <w:basedOn w:val="835"/>
    <w:link w:val="67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>
    <w:name w:val="Heading 9 Char"/>
    <w:basedOn w:val="835"/>
    <w:link w:val="67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7">
    <w:name w:val="Title"/>
    <w:basedOn w:val="834"/>
    <w:next w:val="834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5"/>
    <w:link w:val="677"/>
    <w:uiPriority w:val="10"/>
    <w:rPr>
      <w:sz w:val="48"/>
      <w:szCs w:val="48"/>
    </w:rPr>
  </w:style>
  <w:style w:type="paragraph" w:styleId="679">
    <w:name w:val="Subtitle"/>
    <w:basedOn w:val="834"/>
    <w:next w:val="834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5"/>
    <w:link w:val="679"/>
    <w:uiPriority w:val="11"/>
    <w:rPr>
      <w:sz w:val="24"/>
      <w:szCs w:val="24"/>
    </w:rPr>
  </w:style>
  <w:style w:type="paragraph" w:styleId="681">
    <w:name w:val="Quote"/>
    <w:basedOn w:val="834"/>
    <w:next w:val="834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4"/>
    <w:next w:val="834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5"/>
    <w:link w:val="685"/>
    <w:uiPriority w:val="99"/>
  </w:style>
  <w:style w:type="paragraph" w:styleId="687">
    <w:name w:val="Footer"/>
    <w:basedOn w:val="8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5"/>
    <w:link w:val="687"/>
    <w:uiPriority w:val="99"/>
  </w:style>
  <w:style w:type="paragraph" w:styleId="689">
    <w:name w:val="Caption"/>
    <w:basedOn w:val="834"/>
    <w:next w:val="834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5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List Paragraph"/>
    <w:basedOn w:val="834"/>
    <w:uiPriority w:val="99"/>
    <w:qFormat/>
    <w:pPr>
      <w:contextualSpacing/>
      <w:ind w:left="720"/>
    </w:pPr>
  </w:style>
  <w:style w:type="paragraph" w:styleId="839">
    <w:name w:val="Normal (Web)"/>
    <w:basedOn w:val="834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0">
    <w:name w:val="No Spacing"/>
    <w:uiPriority w:val="99"/>
    <w:qFormat/>
    <w:rPr>
      <w:sz w:val="22"/>
      <w:szCs w:val="22"/>
      <w:lang w:eastAsia="en-US"/>
    </w:rPr>
  </w:style>
  <w:style w:type="character" w:styleId="841">
    <w:name w:val="Hyperlink"/>
    <w:uiPriority w:val="99"/>
    <w:rPr>
      <w:rFonts w:cs="Times New Roman"/>
      <w:color w:val="0000ff"/>
      <w:u w:val="single"/>
    </w:rPr>
  </w:style>
  <w:style w:type="paragraph" w:styleId="842" w:customStyle="1">
    <w:name w:val="ConsPlusTitle"/>
    <w:uiPriority w:val="99"/>
    <w:pPr>
      <w:widowControl w:val="off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admin</dc:creator>
  <cp:keywords/>
  <dc:description/>
  <cp:lastModifiedBy>oumi-6</cp:lastModifiedBy>
  <cp:revision>9</cp:revision>
  <dcterms:created xsi:type="dcterms:W3CDTF">2022-11-08T12:09:00Z</dcterms:created>
  <dcterms:modified xsi:type="dcterms:W3CDTF">2026-05-05T12:02:44Z</dcterms:modified>
</cp:coreProperties>
</file>