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1D" w:rsidRDefault="00062E1D">
      <w:pPr>
        <w:jc w:val="center"/>
        <w:rPr>
          <w:b/>
          <w:sz w:val="28"/>
          <w:szCs w:val="28"/>
        </w:rPr>
      </w:pPr>
    </w:p>
    <w:p w:rsidR="00062E1D" w:rsidRDefault="00B36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62E1D" w:rsidRDefault="00B36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062E1D" w:rsidRDefault="00B36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062E1D" w:rsidRDefault="00062E1D">
      <w:pPr>
        <w:jc w:val="center"/>
        <w:rPr>
          <w:b/>
          <w:sz w:val="28"/>
          <w:szCs w:val="28"/>
        </w:rPr>
      </w:pPr>
    </w:p>
    <w:p w:rsidR="00062E1D" w:rsidRDefault="00B363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62E1D" w:rsidRDefault="00062E1D">
      <w:pPr>
        <w:jc w:val="center"/>
        <w:rPr>
          <w:b/>
          <w:sz w:val="28"/>
          <w:szCs w:val="28"/>
        </w:rPr>
      </w:pPr>
    </w:p>
    <w:p w:rsidR="00062E1D" w:rsidRDefault="00B36334">
      <w:pPr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EB37F7">
        <w:rPr>
          <w:sz w:val="28"/>
          <w:szCs w:val="28"/>
        </w:rPr>
        <w:t xml:space="preserve"> 07.04.2026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37F7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EB37F7">
        <w:rPr>
          <w:sz w:val="28"/>
          <w:szCs w:val="28"/>
        </w:rPr>
        <w:t>407</w:t>
      </w:r>
    </w:p>
    <w:p w:rsidR="00062E1D" w:rsidRDefault="00062E1D">
      <w:pPr>
        <w:rPr>
          <w:sz w:val="28"/>
          <w:szCs w:val="28"/>
          <w:u w:val="single"/>
        </w:rPr>
      </w:pPr>
    </w:p>
    <w:p w:rsidR="00062E1D" w:rsidRDefault="00B36334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Бутурлинского муниципального округа Нижегородской области от 15.10.2025 № 1363</w:t>
      </w:r>
    </w:p>
    <w:p w:rsidR="00062E1D" w:rsidRDefault="00B36334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«Об утверждении плана реализации муниципальной программы  </w:t>
      </w:r>
      <w:r>
        <w:rPr>
          <w:b/>
          <w:sz w:val="28"/>
          <w:szCs w:val="28"/>
        </w:rPr>
        <w:t>«Повышение эффективности муниципального управления Бутурлинского Муниципального округа Нижегородской области»  на 2026 год</w:t>
      </w:r>
    </w:p>
    <w:p w:rsidR="00062E1D" w:rsidRDefault="00B36334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и плановый период 2027-2028 гг</w:t>
      </w:r>
    </w:p>
    <w:p w:rsidR="00062E1D" w:rsidRDefault="00062E1D">
      <w:pPr>
        <w:widowControl w:val="0"/>
        <w:spacing w:line="360" w:lineRule="auto"/>
        <w:jc w:val="both"/>
        <w:rPr>
          <w:sz w:val="28"/>
          <w:szCs w:val="28"/>
        </w:rPr>
      </w:pPr>
    </w:p>
    <w:p w:rsidR="00062E1D" w:rsidRDefault="00B36334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во исполнение постановления администрации Бутурлинского муниципального района от 14.05.2014 №440 «Об утверждении Порядка разработки, реализации и оценки эффективности муниципальных программ Бутурлинского муниципального района», в целях реализации программно – целевых принципов бюджетного планирования,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 w:rsidR="00062E1D" w:rsidRDefault="00B36334">
      <w:pPr>
        <w:widowControl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1.Внести в План реализации муниципальной программы «Повышение эффективности муниципального управления Бутурлинского муниципального округа Нижегородской области» на 2026 год и плановый период 2027-2028 гг, утвержденный постановлением администрации Бутурлинского муниципального округа Нижегородской области от 15.10.2025 №1363,  изменения, </w:t>
      </w:r>
      <w:r>
        <w:rPr>
          <w:bCs/>
          <w:color w:val="000000"/>
          <w:sz w:val="28"/>
          <w:szCs w:val="28"/>
        </w:rPr>
        <w:t>изложив его в новой редакции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согласно приложению к настоящему постановлению.</w:t>
      </w:r>
    </w:p>
    <w:p w:rsidR="00062E1D" w:rsidRDefault="00B36334">
      <w:pPr>
        <w:widowControl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</w:rPr>
        <w:t>2.</w:t>
      </w:r>
      <w:r w:rsidRPr="00B36334">
        <w:rPr>
          <w:sz w:val="28"/>
          <w:szCs w:val="28"/>
        </w:rPr>
        <w:t xml:space="preserve"> </w:t>
      </w:r>
      <w:r w:rsidRPr="00B36334">
        <w:rPr>
          <w:bCs/>
          <w:color w:val="000000"/>
          <w:sz w:val="28"/>
          <w:szCs w:val="28"/>
        </w:rPr>
        <w:t xml:space="preserve">Управлению по юридическому и организационному обеспечению деятельности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</w:t>
      </w:r>
      <w:r w:rsidRPr="00B36334">
        <w:rPr>
          <w:bCs/>
          <w:color w:val="000000"/>
          <w:sz w:val="28"/>
          <w:szCs w:val="28"/>
        </w:rPr>
        <w:lastRenderedPageBreak/>
        <w:t>муниципального округа Нижегородской области в информационно-телекоммуникационной сети «Интернет» по адресу: buturlino.nobl.ru .</w:t>
      </w:r>
    </w:p>
    <w:p w:rsidR="00062E1D" w:rsidRDefault="00B36334">
      <w:pPr>
        <w:widowControl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Настоящее постановление вступит в силу с момента опубликования</w:t>
      </w:r>
    </w:p>
    <w:p w:rsidR="00062E1D" w:rsidRDefault="00B36334">
      <w:pPr>
        <w:widowControl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(обнародования) и распространяет свое действие на правоотношения с 01.01.2026.</w:t>
      </w:r>
    </w:p>
    <w:p w:rsidR="00062E1D" w:rsidRDefault="00B3633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настоящего постановления возложить на заместителя главы администрации, начальника организационно-правового управления администрации Бутурлинского муниципального округа Нижегородской области М.Н.Строкину.</w:t>
      </w:r>
    </w:p>
    <w:p w:rsidR="00062E1D" w:rsidRDefault="00062E1D">
      <w:pPr>
        <w:rPr>
          <w:sz w:val="28"/>
          <w:szCs w:val="28"/>
        </w:rPr>
      </w:pPr>
    </w:p>
    <w:p w:rsidR="00062E1D" w:rsidRDefault="00062E1D">
      <w:pPr>
        <w:rPr>
          <w:sz w:val="28"/>
          <w:szCs w:val="28"/>
        </w:rPr>
      </w:pPr>
    </w:p>
    <w:p w:rsidR="00062E1D" w:rsidRDefault="00B36334">
      <w:pPr>
        <w:rPr>
          <w:sz w:val="28"/>
          <w:szCs w:val="28"/>
        </w:rPr>
        <w:sectPr w:rsidR="00062E1D">
          <w:pgSz w:w="11907" w:h="16840"/>
          <w:pgMar w:top="568" w:right="851" w:bottom="851" w:left="1418" w:header="0" w:footer="0" w:gutter="0"/>
          <w:cols w:space="708"/>
          <w:docGrid w:linePitch="360"/>
        </w:sect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М.Ф.Петрова</w:t>
      </w:r>
    </w:p>
    <w:p w:rsidR="00062E1D" w:rsidRDefault="00B36334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062E1D" w:rsidRDefault="00B36334">
      <w:pPr>
        <w:widowControl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 постановлению администрации </w:t>
      </w:r>
    </w:p>
    <w:p w:rsidR="00062E1D" w:rsidRDefault="00B36334">
      <w:pPr>
        <w:widowControl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Бутурлинского муниципального округа</w:t>
      </w:r>
    </w:p>
    <w:p w:rsidR="00062E1D" w:rsidRDefault="00B36334">
      <w:pPr>
        <w:widowControl w:val="0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062E1D" w:rsidRDefault="00B36334">
      <w:pPr>
        <w:widowControl w:val="0"/>
        <w:jc w:val="righ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EB37F7">
        <w:rPr>
          <w:rFonts w:eastAsia="Calibri"/>
          <w:sz w:val="28"/>
          <w:szCs w:val="28"/>
          <w:lang w:eastAsia="en-US"/>
        </w:rPr>
        <w:t>07.04.2026 №407</w:t>
      </w:r>
    </w:p>
    <w:p w:rsidR="00062E1D" w:rsidRDefault="00062E1D">
      <w:pPr>
        <w:widowControl w:val="0"/>
        <w:jc w:val="right"/>
        <w:rPr>
          <w:rFonts w:eastAsia="Calibri"/>
          <w:sz w:val="28"/>
          <w:szCs w:val="28"/>
          <w:lang w:eastAsia="en-US"/>
        </w:rPr>
      </w:pPr>
    </w:p>
    <w:p w:rsidR="00062E1D" w:rsidRDefault="00B36334">
      <w:pPr>
        <w:widowControl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План реализации муниципальной программы </w:t>
      </w:r>
      <w:r>
        <w:rPr>
          <w:sz w:val="28"/>
          <w:szCs w:val="28"/>
        </w:rPr>
        <w:t>«Повышение эффективности муниципального</w:t>
      </w:r>
    </w:p>
    <w:p w:rsidR="00062E1D" w:rsidRDefault="00B3633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Бутурлинского муниципального округа Нижегородской области» </w:t>
      </w:r>
      <w:r>
        <w:rPr>
          <w:bCs/>
          <w:color w:val="000000"/>
          <w:sz w:val="28"/>
          <w:szCs w:val="28"/>
        </w:rPr>
        <w:t>на 2026-2028 годы.</w:t>
      </w:r>
    </w:p>
    <w:p w:rsidR="00062E1D" w:rsidRDefault="00062E1D">
      <w:pPr>
        <w:widowControl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265"/>
        <w:gridCol w:w="1554"/>
        <w:gridCol w:w="1275"/>
        <w:gridCol w:w="854"/>
        <w:gridCol w:w="85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  <w:gridCol w:w="191"/>
        <w:gridCol w:w="45"/>
        <w:gridCol w:w="666"/>
        <w:gridCol w:w="711"/>
        <w:gridCol w:w="710"/>
        <w:gridCol w:w="853"/>
        <w:gridCol w:w="709"/>
        <w:gridCol w:w="709"/>
        <w:gridCol w:w="851"/>
        <w:gridCol w:w="567"/>
        <w:gridCol w:w="567"/>
      </w:tblGrid>
      <w:tr w:rsidR="00062E1D">
        <w:trPr>
          <w:trHeight w:val="585"/>
        </w:trPr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Непосредственный результат (краткое описание)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Финансирование 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Финансирование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Финансирование </w:t>
            </w:r>
          </w:p>
        </w:tc>
      </w:tr>
      <w:tr w:rsidR="00062E1D">
        <w:trPr>
          <w:trHeight w:val="435"/>
        </w:trPr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 реализации</w:t>
            </w:r>
          </w:p>
        </w:tc>
        <w:tc>
          <w:tcPr>
            <w:tcW w:w="85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окончание реализации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2027год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2026 год (тыс.руб)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2027год (тыс.руб)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2028 год (тыс.руб)</w:t>
            </w:r>
          </w:p>
        </w:tc>
      </w:tr>
      <w:tr w:rsidR="00062E1D">
        <w:trPr>
          <w:cantSplit/>
          <w:trHeight w:val="1023"/>
        </w:trPr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кв.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кв.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кв.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кв.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кв.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кв.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кв.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кв.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кв.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кв.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кв.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кв.</w:t>
            </w:r>
          </w:p>
        </w:tc>
        <w:tc>
          <w:tcPr>
            <w:tcW w:w="6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 бюджет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Федеральн. бюджет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 бюджет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Федеральн. бюджет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Областной  бюджет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Федеральн. бюджет</w:t>
            </w:r>
          </w:p>
        </w:tc>
      </w:tr>
      <w:tr w:rsidR="00062E1D">
        <w:trPr>
          <w:trHeight w:val="315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062E1D">
        <w:trPr>
          <w:trHeight w:val="915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1 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"Повышение эффективности муниципального управления, развитие местного самоуправления и муниципальной службы Бутурлинского муниципального округа Нижегородской области »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результате реализации мероприятий Подпрограммы ожидается достижение следующих результатов: 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эффективности муниципального управления, оптимизации организации и функционирования муниципальной службы, обеспечение последовательности, системности и комплексности развития муниципальной службы, создание в Бутурлинском муниципальном округе эффективной системы противодействия коррупции.,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 уровня коррупции за счет сокращения административных барьеров и повышения прозрачности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03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1.1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Дальнейшая разработка нормативных правовых актов по вопросам </w:t>
            </w:r>
            <w:r>
              <w:rPr>
                <w:sz w:val="18"/>
                <w:szCs w:val="18"/>
              </w:rPr>
              <w:lastRenderedPageBreak/>
              <w:t>прохождения муниципальной службы, внесение изменений и дополнений в действующие правовые акты с учетом федерального законодательства и регионального законодательства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Администрация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18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1.2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Координация деятельности кадровых служб органов местного самоуправления Бутурлинского муниципального округа по вопросам реализации законодательства о муниципальной службе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Организационно-правовое управление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В результате реализации мероприятия ожидается: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223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1.3.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эффективных технологий и перспективных методов кадровой работы на муниципальной службе, включая современные методы мотивации и стимулирования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оперативное реагирование на актуальные проблемы органов местного самоуправления, в полной мере удовлетворение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443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1.4.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82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 мероприятие 1.5.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Привлечение на муниципальную службу инициативных молодых специалистов, воспитание в сотрудниках преемственности кадров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24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1.6.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системы подготовки кадров для муниципальной службы и дополнительного профессионального образования муниципальных служащих</w:t>
            </w:r>
          </w:p>
          <w:p w:rsidR="00062E1D" w:rsidRDefault="00062E1D">
            <w:pPr>
              <w:widowControl w:val="0"/>
              <w:jc w:val="both"/>
              <w:outlineLvl w:val="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Организационно-правовое управление администрации округа, структурные подразделения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профессионального уровня муниципальных служащих (подготовка, профессиональная переподготовка, повышение квалификации и стажировка, дистанционное обучение, без  отрыва от работы, 100%-ное количество муниципальных служащих, имеющих высшее профессиональное образование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03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1.7.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оценки профессиональных, деловых и личностных качеств кандидатов на включение в резерв управленческих </w:t>
            </w:r>
            <w:r>
              <w:rPr>
                <w:sz w:val="18"/>
                <w:szCs w:val="18"/>
              </w:rPr>
              <w:lastRenderedPageBreak/>
              <w:t>кадров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Организационно-правовое управление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1.8.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возможности прохождения студентами практики в органах местного самоуправления Бутурлинского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округа, структурные подразделения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1.9.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конкурсов на замещение вакантных должностей муниципальной службы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округа, структурные подразделения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порядка замещения вакантных должностей муниципальной службы на основе конкурса, обеспечивающего равный доступ граждан к муниципальной службе;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1.10.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профессиональной служебной деятельности муниципальных служащих посредством проведения аттестации, квалификационного экзамена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округа, структурные подразделения администрации округа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графиком проведения аттестации и квалификационного экзамена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соответствия муниципального служащего замещаемой должности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1.11.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экспертизы муниципальных правовых актов о прохождении муниципальной службы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Приведение правовых актов в соответствие с действующим законодательством, проверка актов на наличие в них коррупциогенных факторов.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1.12.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надлежащих условий для качественного исполнения муниципальными служащими района своих должностных обязанностей 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1.13.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Улучшение кадрового состава муниципальных служащих путем: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должностного роста муниципальных служащих на основе их профессиональных заслуг и деловых качеств;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эффективного исполнения должностных обязанностей путем привлечения высококвалифицированных кадров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1.14.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работ по анализу положений структурных подразделений администрации Бутурлинского муниципального округа по вопросам разграничения полномочий, исключения их дублирования, </w:t>
            </w:r>
            <w:r>
              <w:rPr>
                <w:sz w:val="18"/>
                <w:szCs w:val="18"/>
              </w:rPr>
              <w:lastRenderedPageBreak/>
              <w:t>внесение предложений по упорядочению их функций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Организационно-правовое управление администрации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1.15.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системы показателей профессиональной служебной деятельности, оценки результативности и эффективности профессиональной служебной деятельности муниципальных служащих органов местного самоуправления района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1.16.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механизма текущей оценки профессиональной служебной деятельности муниципальных служащих. Привлечение независимых экспертов при проведении аттестации и квалифика-ционного экзамена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1.17.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и ведение реестра муниципальных служащих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 единой универсальной базы данных о прохождении муниципальной службы.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1275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1.18.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семинаров, круглых столов, презентаций, мероприя-тий, посвященных Дню местного самоуправления и иных мероприятий, способствующих развитию местного самоуправления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Организационно-правовое управление администрации округа, структурные подразделения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770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"Подпрограмма 2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«Предоставление социальных гарантий лицам, замещающим муниципальные должности, должности муниципальной службы и служащим органов местного самоуправления Бутурлинского муниципального округа Нижегородской области на 2021-2023 годы"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ходе реализации мероприятий Подпрограммы ожидается достижение следующих результатов: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-формирование условий для эффективной реализации конституционных полномочий органов МСУ;</w:t>
            </w:r>
            <w:r>
              <w:rPr>
                <w:sz w:val="18"/>
                <w:szCs w:val="18"/>
              </w:rPr>
              <w:br/>
              <w:t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-обеспечение социальных гарантий для муниципальных служащих в соответствии с законодательством о муниципальной службе.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8030,0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8030,0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8030,0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88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2.1.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Пенсионное обеспечение муниципальных служащих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62E1D">
        <w:trPr>
          <w:trHeight w:val="1560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2.2.</w:t>
            </w:r>
          </w:p>
        </w:tc>
        <w:tc>
          <w:tcPr>
            <w:tcW w:w="15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Страхование служащих</w:t>
            </w:r>
          </w:p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62E1D" w:rsidRDefault="00062E1D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30,0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30,00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1320"/>
        </w:trPr>
        <w:tc>
          <w:tcPr>
            <w:tcW w:w="126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2.3</w:t>
            </w:r>
          </w:p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Диспансеризация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0,00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0,00 </w:t>
            </w:r>
          </w:p>
        </w:tc>
      </w:tr>
      <w:tr w:rsidR="00062E1D">
        <w:trPr>
          <w:trHeight w:val="615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3. " Ресурсное обеспечение реализации муниципальной программы «Повышение эффективности муниципального управления Бутурлинского муниципального округа Нижегородской области 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Администрация округа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34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Создание условий для  эффективного функционирования органов местного самоуправления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43081,7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2169,4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581,6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43081.8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43261.7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816,1</w:t>
            </w:r>
          </w:p>
        </w:tc>
      </w:tr>
      <w:tr w:rsidR="00062E1D">
        <w:trPr>
          <w:trHeight w:val="375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6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51347.0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2169,4</w:t>
            </w:r>
          </w:p>
        </w:tc>
        <w:tc>
          <w:tcPr>
            <w:tcW w:w="7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581.6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51341,8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51521,7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2169,4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2E1D" w:rsidRDefault="00B36334">
            <w:pPr>
              <w:widowControl w:val="0"/>
              <w:jc w:val="both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816,1</w:t>
            </w:r>
          </w:p>
        </w:tc>
      </w:tr>
    </w:tbl>
    <w:p w:rsidR="006A42FB" w:rsidRDefault="006A42FB"/>
    <w:sectPr w:rsidR="006A42FB">
      <w:pgSz w:w="16840" w:h="11907" w:orient="landscape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AA" w:rsidRDefault="00636BAA">
      <w:r>
        <w:separator/>
      </w:r>
    </w:p>
  </w:endnote>
  <w:endnote w:type="continuationSeparator" w:id="0">
    <w:p w:rsidR="00636BAA" w:rsidRDefault="0063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AA" w:rsidRDefault="00636BAA">
      <w:r>
        <w:separator/>
      </w:r>
    </w:p>
  </w:footnote>
  <w:footnote w:type="continuationSeparator" w:id="0">
    <w:p w:rsidR="00636BAA" w:rsidRDefault="0063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4F6F"/>
    <w:multiLevelType w:val="hybridMultilevel"/>
    <w:tmpl w:val="124403AE"/>
    <w:lvl w:ilvl="0" w:tplc="833610AE">
      <w:start w:val="1"/>
      <w:numFmt w:val="decimal"/>
      <w:lvlText w:val="%1."/>
      <w:lvlJc w:val="left"/>
      <w:pPr>
        <w:ind w:left="1349" w:hanging="810"/>
      </w:pPr>
    </w:lvl>
    <w:lvl w:ilvl="1" w:tplc="64523AAA">
      <w:start w:val="1"/>
      <w:numFmt w:val="lowerLetter"/>
      <w:lvlText w:val="%2."/>
      <w:lvlJc w:val="left"/>
      <w:pPr>
        <w:ind w:left="1619" w:hanging="360"/>
      </w:pPr>
    </w:lvl>
    <w:lvl w:ilvl="2" w:tplc="FCEA2E7A">
      <w:start w:val="1"/>
      <w:numFmt w:val="lowerRoman"/>
      <w:lvlText w:val="%3."/>
      <w:lvlJc w:val="right"/>
      <w:pPr>
        <w:ind w:left="2339" w:hanging="180"/>
      </w:pPr>
    </w:lvl>
    <w:lvl w:ilvl="3" w:tplc="484863D2">
      <w:start w:val="1"/>
      <w:numFmt w:val="decimal"/>
      <w:lvlText w:val="%4."/>
      <w:lvlJc w:val="left"/>
      <w:pPr>
        <w:ind w:left="3059" w:hanging="360"/>
      </w:pPr>
    </w:lvl>
    <w:lvl w:ilvl="4" w:tplc="E234AB54">
      <w:start w:val="1"/>
      <w:numFmt w:val="lowerLetter"/>
      <w:lvlText w:val="%5."/>
      <w:lvlJc w:val="left"/>
      <w:pPr>
        <w:ind w:left="3779" w:hanging="360"/>
      </w:pPr>
    </w:lvl>
    <w:lvl w:ilvl="5" w:tplc="35E865D2">
      <w:start w:val="1"/>
      <w:numFmt w:val="lowerRoman"/>
      <w:lvlText w:val="%6."/>
      <w:lvlJc w:val="right"/>
      <w:pPr>
        <w:ind w:left="4499" w:hanging="180"/>
      </w:pPr>
    </w:lvl>
    <w:lvl w:ilvl="6" w:tplc="92B0EB02">
      <w:start w:val="1"/>
      <w:numFmt w:val="decimal"/>
      <w:lvlText w:val="%7."/>
      <w:lvlJc w:val="left"/>
      <w:pPr>
        <w:ind w:left="5219" w:hanging="360"/>
      </w:pPr>
    </w:lvl>
    <w:lvl w:ilvl="7" w:tplc="44E0AA2A">
      <w:start w:val="1"/>
      <w:numFmt w:val="lowerLetter"/>
      <w:lvlText w:val="%8."/>
      <w:lvlJc w:val="left"/>
      <w:pPr>
        <w:ind w:left="5939" w:hanging="360"/>
      </w:pPr>
    </w:lvl>
    <w:lvl w:ilvl="8" w:tplc="AE50C210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BEE1248"/>
    <w:multiLevelType w:val="hybridMultilevel"/>
    <w:tmpl w:val="F07E9BCC"/>
    <w:lvl w:ilvl="0" w:tplc="78C6BF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8998F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7477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048B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047F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126D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A246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061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0EDB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E1D"/>
    <w:rsid w:val="00062E1D"/>
    <w:rsid w:val="00636BAA"/>
    <w:rsid w:val="006A42FB"/>
    <w:rsid w:val="00B36334"/>
    <w:rsid w:val="00E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CA8B3-C585-4D2D-80C1-DEF6FBC6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a6">
    <w:name w:val="Название Знак"/>
    <w:link w:val="a5"/>
    <w:uiPriority w:val="99"/>
    <w:rPr>
      <w:b/>
      <w:sz w:val="32"/>
      <w:lang w:val="ru-RU" w:eastAsia="ru-RU" w:bidi="ar-SA"/>
    </w:rPr>
  </w:style>
  <w:style w:type="paragraph" w:styleId="afb">
    <w:name w:val="Balloon Text"/>
    <w:basedOn w:val="a"/>
    <w:link w:val="afc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paragraph" w:styleId="afd">
    <w:name w:val="Body Text Indent"/>
    <w:basedOn w:val="a"/>
    <w:link w:val="afe"/>
    <w:pPr>
      <w:ind w:left="705"/>
      <w:jc w:val="both"/>
    </w:pPr>
    <w:rPr>
      <w:sz w:val="28"/>
      <w:szCs w:val="20"/>
      <w:lang w:eastAsia="ar-SA"/>
    </w:rPr>
  </w:style>
  <w:style w:type="character" w:customStyle="1" w:styleId="afe">
    <w:name w:val="Основной текст с отступом Знак"/>
    <w:link w:val="afd"/>
    <w:rPr>
      <w:sz w:val="28"/>
      <w:lang w:val="ru-RU" w:eastAsia="ar-SA" w:bidi="ar-SA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MS Mincho" w:hAnsi="Arial" w:cs="Arial"/>
      <w:lang w:eastAsia="ja-JP"/>
    </w:rPr>
  </w:style>
  <w:style w:type="paragraph" w:styleId="aff0">
    <w:name w:val="Body Text"/>
    <w:basedOn w:val="a"/>
    <w:pPr>
      <w:spacing w:after="120"/>
    </w:pPr>
    <w:rPr>
      <w:lang w:eastAsia="ar-SA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customStyle="1" w:styleId="43">
    <w:name w:val="Знак Знак4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Calibri" w:hAnsi="Courier New" w:cs="Courier New"/>
    </w:rPr>
  </w:style>
  <w:style w:type="paragraph" w:customStyle="1" w:styleId="aff1">
    <w:name w:val="Нормальный"/>
    <w:uiPriority w:val="99"/>
    <w:pPr>
      <w:widowControl w:val="0"/>
    </w:pPr>
    <w:rPr>
      <w:color w:val="000000"/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1989</Words>
  <Characters>11343</Characters>
  <Application>Microsoft Office Word</Application>
  <DocSecurity>0</DocSecurity>
  <Lines>94</Lines>
  <Paragraphs>26</Paragraphs>
  <ScaleCrop>false</ScaleCrop>
  <Company>Wolfish Lair</Company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реализации муниципальной программы</dc:title>
  <dc:creator>priem_adm</dc:creator>
  <cp:lastModifiedBy>kadr-2</cp:lastModifiedBy>
  <cp:revision>36</cp:revision>
  <dcterms:created xsi:type="dcterms:W3CDTF">2024-11-11T06:24:00Z</dcterms:created>
  <dcterms:modified xsi:type="dcterms:W3CDTF">2026-04-07T11:37:00Z</dcterms:modified>
  <cp:version>983040</cp:version>
</cp:coreProperties>
</file>