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«УТВЕРЖДЕНА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постановлением администрации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Бутурлинского</w:t>
      </w:r>
      <w:r>
        <w:rPr>
          <w:bCs/>
          <w:sz w:val="28"/>
          <w:szCs w:val="28"/>
          <w:lang w:eastAsia="ru-RU"/>
        </w:rPr>
        <w:t xml:space="preserve"> муниципального округа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Нижегородской области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</w:t>
      </w:r>
      <w:r>
        <w:rPr>
          <w:bCs/>
          <w:sz w:val="28"/>
          <w:szCs w:val="28"/>
          <w:u w:val="single"/>
          <w:lang w:eastAsia="ru-RU"/>
        </w:rPr>
        <w:t xml:space="preserve"> 26</w:t>
      </w:r>
      <w:r>
        <w:rPr>
          <w:bCs/>
          <w:sz w:val="28"/>
          <w:szCs w:val="28"/>
          <w:u w:val="single"/>
          <w:lang w:eastAsia="ru-RU"/>
        </w:rPr>
        <w:t xml:space="preserve">.</w:t>
      </w:r>
      <w:r>
        <w:rPr>
          <w:bCs/>
          <w:sz w:val="28"/>
          <w:szCs w:val="28"/>
          <w:u w:val="single"/>
          <w:lang w:eastAsia="ru-RU"/>
        </w:rPr>
        <w:t xml:space="preserve">08.2025</w:t>
      </w:r>
      <w:r>
        <w:rPr>
          <w:bCs/>
          <w:sz w:val="28"/>
          <w:szCs w:val="28"/>
          <w:lang w:eastAsia="ru-RU"/>
        </w:rPr>
        <w:t xml:space="preserve"> № </w:t>
      </w:r>
      <w:r>
        <w:rPr>
          <w:bCs/>
          <w:sz w:val="28"/>
          <w:szCs w:val="28"/>
          <w:u w:val="single"/>
          <w:lang w:eastAsia="ru-RU"/>
        </w:rPr>
        <w:t xml:space="preserve">1153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center"/>
        <w:spacing w:before="0" w:after="0" w:line="120" w:lineRule="auto"/>
        <w:rPr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АКТУАЛЬНАЯ РЕДАКЦИЯ</w:t>
      </w:r>
      <w:r>
        <w:rPr>
          <w:sz w:val="28"/>
          <w:szCs w:val="28"/>
        </w:rPr>
      </w:r>
    </w:p>
    <w:p>
      <w:pPr>
        <w:contextualSpacing w:val="0"/>
        <w:jc w:val="left"/>
        <w:spacing w:before="0" w:after="0" w:line="120" w:lineRule="auto"/>
        <w:tabs>
          <w:tab w:val="left" w:pos="7061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1"/>
        <w:contextualSpacing w:val="0"/>
        <w:jc w:val="center"/>
        <w:spacing w:before="0" w:after="0" w:line="12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МУНИЦИПАЛЬНОЙ ПРОГРАММЫ</w:t>
      </w:r>
      <w:r>
        <w:rPr>
          <w:color w:val="000000"/>
          <w:sz w:val="28"/>
          <w:szCs w:val="28"/>
        </w:rPr>
      </w:r>
    </w:p>
    <w:p>
      <w:pPr>
        <w:pStyle w:val="761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«</w:t>
      </w:r>
      <w:r>
        <w:rPr>
          <w:b w:val="0"/>
          <w:color w:val="000000"/>
          <w:sz w:val="28"/>
          <w:szCs w:val="28"/>
        </w:rPr>
        <w:t xml:space="preserve">Укрепление общественного здоровья</w:t>
      </w:r>
      <w:r>
        <w:rPr>
          <w:b w:val="0"/>
          <w:color w:val="000000"/>
          <w:sz w:val="28"/>
          <w:szCs w:val="28"/>
        </w:rPr>
        <w:t xml:space="preserve"> на территории Бутурлинского муниципального округа Нижегородской области</w:t>
      </w:r>
      <w:r>
        <w:rPr>
          <w:b w:val="0"/>
          <w:color w:val="000000"/>
          <w:sz w:val="28"/>
          <w:szCs w:val="28"/>
        </w:rPr>
        <w:t xml:space="preserve"> на 202</w:t>
      </w:r>
      <w:r>
        <w:rPr>
          <w:b w:val="0"/>
          <w:color w:val="000000"/>
          <w:sz w:val="28"/>
          <w:szCs w:val="28"/>
        </w:rPr>
        <w:t xml:space="preserve">6</w:t>
      </w:r>
      <w:r>
        <w:rPr>
          <w:b w:val="0"/>
          <w:color w:val="000000"/>
          <w:sz w:val="28"/>
          <w:szCs w:val="28"/>
        </w:rPr>
        <w:t xml:space="preserve">-2030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годы</w:t>
      </w:r>
      <w:r>
        <w:rPr>
          <w:b w:val="0"/>
          <w:color w:val="000000"/>
          <w:sz w:val="28"/>
          <w:szCs w:val="28"/>
        </w:rPr>
        <w:t xml:space="preserve">»</w:t>
      </w:r>
      <w:r>
        <w:rPr>
          <w:b w:val="0"/>
          <w:color w:val="000000"/>
          <w:sz w:val="28"/>
          <w:szCs w:val="28"/>
        </w:rPr>
      </w:r>
    </w:p>
    <w:p>
      <w:pPr>
        <w:pStyle w:val="761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(далее</w:t>
      </w:r>
      <w:r>
        <w:rPr>
          <w:b w:val="0"/>
          <w:color w:val="000000"/>
          <w:sz w:val="28"/>
          <w:szCs w:val="28"/>
        </w:rPr>
        <w:t xml:space="preserve"> -</w:t>
      </w:r>
      <w:r>
        <w:rPr>
          <w:b w:val="0"/>
          <w:color w:val="000000"/>
          <w:sz w:val="28"/>
          <w:szCs w:val="28"/>
        </w:rPr>
        <w:t xml:space="preserve"> Программа)</w:t>
      </w:r>
      <w:r>
        <w:rPr>
          <w:b w:val="0"/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  <w:outlineLvl w:val="1"/>
      </w:pPr>
      <w:r>
        <w:rPr>
          <w:b/>
          <w:color w:val="000000"/>
          <w:sz w:val="28"/>
          <w:szCs w:val="28"/>
        </w:rPr>
        <w:t xml:space="preserve">1. ПАСПОРТ ПРОГРАММЫ</w:t>
      </w:r>
      <w:r>
        <w:rPr>
          <w:b/>
          <w:color w:val="000000"/>
          <w:sz w:val="28"/>
          <w:szCs w:val="28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дминистраци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>
              <w:rPr>
                <w:color w:val="000000"/>
                <w:sz w:val="28"/>
                <w:szCs w:val="28"/>
              </w:rPr>
              <w:t xml:space="preserve">Бутурлинского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муниципального округа Нижегородской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ГБУЗ НО «Бутурлинская центральная районная больница»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(по согласованию),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-ГБУЗ НО «Нижегородский областной центр общественного здоровья и медицинской профилактики» (по согласованию)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Управление образования и спорта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-отдел культуры и туризма организационно-правового управления администрации Бутурлинского муниципального округа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МАУ «Редакция газеты «Бутурлинская жизнь»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Территориальный отдел Управления Роспотребнадзора по Ниж</w:t>
            </w:r>
            <w:r>
              <w:rPr>
                <w:color w:val="000000"/>
                <w:sz w:val="28"/>
                <w:szCs w:val="28"/>
              </w:rPr>
              <w:t xml:space="preserve">егородской области в Кстовском, Б</w:t>
            </w:r>
            <w:r>
              <w:rPr>
                <w:color w:val="000000"/>
                <w:sz w:val="28"/>
                <w:szCs w:val="28"/>
              </w:rPr>
              <w:t xml:space="preserve">ольшемурашкинском,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Бутурлинском,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Дальнеконстантиновском,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Перевозском районах (по согласованию)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ГКУ НО «Управление социальной защиты населения Бутурлинского муниципального округа» (по согласованию)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ГБУЗ НО «Нижегородский областной центр общественного здоровья и медицинской профилактики»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pStyle w:val="761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Муниципальная программа </w:t>
            </w:r>
            <w:r>
              <w:rPr>
                <w:b w:val="0"/>
                <w:color w:val="000000"/>
                <w:sz w:val="28"/>
                <w:szCs w:val="28"/>
              </w:rPr>
              <w:t xml:space="preserve">«</w:t>
            </w:r>
            <w:r>
              <w:rPr>
                <w:b w:val="0"/>
                <w:color w:val="000000"/>
                <w:sz w:val="28"/>
                <w:szCs w:val="28"/>
              </w:rPr>
              <w:t xml:space="preserve">Укрепление общественного здоровья на территории Бутурлинского муниципального округа </w:t>
            </w:r>
            <w:r>
              <w:rPr>
                <w:b w:val="0"/>
                <w:color w:val="000000"/>
                <w:sz w:val="28"/>
                <w:szCs w:val="28"/>
              </w:rPr>
              <w:t xml:space="preserve">Нижегородской области на 2026-2030 годы</w:t>
            </w:r>
            <w:r>
              <w:rPr>
                <w:b w:val="0"/>
                <w:color w:val="000000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здоровья населения, качества жизни, формирование культуры общественного здоровья, ответственного отношения к здоровью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pStyle w:val="790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Формирование системы мотивации граждан Бутурлинского </w:t>
            </w:r>
            <w:r>
              <w:rPr>
                <w:rFonts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cs="Times New Roman"/>
                <w:sz w:val="28"/>
                <w:szCs w:val="28"/>
              </w:rPr>
              <w:t xml:space="preserve">округа</w:t>
            </w:r>
            <w:r>
              <w:rPr>
                <w:rFonts w:cs="Times New Roman"/>
                <w:sz w:val="28"/>
                <w:szCs w:val="28"/>
              </w:rPr>
              <w:t xml:space="preserve"> Нижегородской области </w:t>
            </w:r>
            <w:r>
              <w:rPr>
                <w:rFonts w:cs="Times New Roman"/>
                <w:sz w:val="28"/>
                <w:szCs w:val="28"/>
              </w:rPr>
              <w:t xml:space="preserve">к здоровому образу жизни, включая здоровое питание и отказ от вредных привычек.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790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Формирование среды жизнедеятельности, способствующей общественному здоровью.</w:t>
            </w:r>
            <w:r>
              <w:rPr>
                <w:rFonts w:cs="Times New Roman"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Формирование межведомственных связей по созданию условий, направленных на оздоровление населения.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реализуется в один этап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программы за счет средств бюджета, тыс.руб.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 муниципального округа на очередной год.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Всего на программу предусмотрено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 тыс. руб., в том числе по годам: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  <w:t xml:space="preserve"> год - 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 тыс. руб.,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 год - 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 тыс. руб.,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 год - 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 тыс. руб</w:t>
            </w:r>
            <w:r>
              <w:rPr>
                <w:color w:val="000000"/>
                <w:sz w:val="28"/>
                <w:szCs w:val="28"/>
              </w:rPr>
              <w:t xml:space="preserve">.,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</w:t>
            </w: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  <w:t xml:space="preserve"> год -  </w:t>
            </w: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  <w:t xml:space="preserve">,0 тыс. руб</w:t>
            </w:r>
            <w:r>
              <w:rPr>
                <w:color w:val="000000"/>
                <w:sz w:val="28"/>
                <w:szCs w:val="28"/>
              </w:rPr>
              <w:t xml:space="preserve">.,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  <w:t xml:space="preserve"> год – 0,0 тыс. руб.</w:t>
            </w:r>
            <w:r>
              <w:rPr>
                <w:color w:val="000000"/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Ожидаемая продолжительность жизни лиц, достигш</w:t>
            </w:r>
            <w:r>
              <w:rPr>
                <w:sz w:val="28"/>
                <w:szCs w:val="28"/>
              </w:rPr>
              <w:t xml:space="preserve">их 45</w:t>
            </w:r>
            <w:r>
              <w:rPr>
                <w:sz w:val="28"/>
                <w:szCs w:val="28"/>
              </w:rPr>
              <w:t xml:space="preserve"> лет, оба пола (лет) к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Розничные продажи алкогольной продукции на </w:t>
            </w:r>
            <w:r>
              <w:rPr>
                <w:sz w:val="28"/>
                <w:szCs w:val="28"/>
              </w:rPr>
              <w:t xml:space="preserve">душу населения (в литрах) к 2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– 6 литров.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Смертность мужчин </w:t>
            </w:r>
            <w:r>
              <w:rPr>
                <w:sz w:val="28"/>
                <w:szCs w:val="28"/>
              </w:rPr>
              <w:t xml:space="preserve">в возрасте 16-59 лет к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 xml:space="preserve">706,9</w:t>
            </w:r>
            <w:r>
              <w:rPr>
                <w:sz w:val="28"/>
                <w:szCs w:val="28"/>
              </w:rPr>
              <w:t xml:space="preserve"> на 100 тыс.населения.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Смертность женщин в возрасте </w:t>
            </w: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t xml:space="preserve">-54 лет к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 xml:space="preserve">204,1 на 100</w:t>
            </w:r>
            <w:r>
              <w:rPr>
                <w:sz w:val="28"/>
                <w:szCs w:val="28"/>
              </w:rPr>
              <w:t xml:space="preserve"> тыс.населения.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Обращаемость в медицинские организации по вопросам здорового</w:t>
            </w:r>
            <w:r>
              <w:rPr>
                <w:sz w:val="28"/>
                <w:szCs w:val="28"/>
              </w:rPr>
              <w:t xml:space="preserve"> образа жизни увеличится к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в 1,7 раза.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6. Число лиц, которым рекомендованы индивидуальные планы по здоровом</w:t>
            </w:r>
            <w:r>
              <w:rPr>
                <w:sz w:val="28"/>
                <w:szCs w:val="28"/>
              </w:rPr>
              <w:t xml:space="preserve">у образу жизни увеличится </w:t>
            </w:r>
            <w:r>
              <w:rPr>
                <w:sz w:val="28"/>
                <w:szCs w:val="28"/>
              </w:rPr>
              <w:t xml:space="preserve">к 20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году в 1,3 раза.</w:t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Программа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цели, задачи, основные направления 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мероприятия по профилактике и раннему выявлению хронических </w:t>
      </w:r>
      <w:r>
        <w:rPr>
          <w:sz w:val="28"/>
          <w:szCs w:val="28"/>
        </w:rPr>
        <w:t xml:space="preserve">неинфекционных заболеваний, являющихся основной причиной инвалидности и преждевременной смертности населения, факторов риска их развития, по выявлению групп риска и факторов распространенности поведенческих факторов риска развития неинфекционных заболевани</w:t>
      </w:r>
      <w:r>
        <w:rPr>
          <w:sz w:val="28"/>
          <w:szCs w:val="28"/>
        </w:rPr>
        <w:t xml:space="preserve">й (потребление табака, вредное потребление алкоголя, низкий уровень физической активности, неправильное питание, повышенное артериальное давление), финансовое обеспечение и механизмы реализации предусматриваемых мероприятий, показатели их результативности.</w:t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40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 Текстовая часть муниципальной программы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муниципального округа</w:t>
      </w:r>
      <w:r>
        <w:rPr>
          <w:b/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5"/>
        </w:num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Географические характеристики</w:t>
      </w:r>
      <w:r>
        <w:rPr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Бутурлинский муниципальный округ</w:t>
      </w:r>
      <w:r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находится на юго-востоке Нижегородской области, граничит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Большемурашкинским, Княгиниским, Гагинским, Перевозским, </w:t>
      </w:r>
      <w:r>
        <w:rPr>
          <w:sz w:val="28"/>
          <w:szCs w:val="28"/>
          <w:shd w:val="clear" w:color="auto" w:fill="ffffff"/>
        </w:rPr>
        <w:t xml:space="preserve">Сергачским и Шатковским муниципальными районами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Площадь района составляет </w:t>
      </w:r>
      <w:r>
        <w:rPr>
          <w:sz w:val="28"/>
          <w:szCs w:val="28"/>
        </w:rPr>
        <w:t xml:space="preserve">110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кв. км. Общая ч</w:t>
      </w:r>
      <w:r>
        <w:rPr>
          <w:sz w:val="28"/>
          <w:szCs w:val="28"/>
        </w:rPr>
        <w:t xml:space="preserve">исленность населения по состоянию на </w:t>
      </w:r>
      <w:r>
        <w:rPr>
          <w:color w:val="000000"/>
          <w:sz w:val="28"/>
          <w:szCs w:val="28"/>
        </w:rPr>
        <w:t xml:space="preserve">1 января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г. – 1</w:t>
      </w:r>
      <w:r>
        <w:rPr>
          <w:color w:val="000000"/>
          <w:sz w:val="28"/>
          <w:szCs w:val="28"/>
        </w:rPr>
        <w:t xml:space="preserve">2766</w:t>
      </w:r>
      <w:r>
        <w:rPr>
          <w:color w:val="000000"/>
          <w:sz w:val="28"/>
          <w:szCs w:val="28"/>
        </w:rPr>
        <w:t xml:space="preserve"> человек.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На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Бутурлинского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 xml:space="preserve">расположены </w:t>
      </w:r>
      <w:r>
        <w:rPr>
          <w:color w:val="000000"/>
          <w:sz w:val="28"/>
          <w:szCs w:val="28"/>
        </w:rPr>
        <w:t xml:space="preserve">54</w:t>
      </w:r>
      <w:r>
        <w:rPr>
          <w:sz w:val="28"/>
          <w:szCs w:val="28"/>
        </w:rPr>
        <w:t xml:space="preserve"> населенных 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Административным центром округа является р.п. Бутурлино, расположенное в 120 км от города Нижнего Новгорода. В окружном центре проживают 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772</w:t>
      </w:r>
      <w:r>
        <w:rPr>
          <w:sz w:val="28"/>
          <w:szCs w:val="28"/>
        </w:rPr>
        <w:t xml:space="preserve"> человека.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В 50-е годы </w:t>
      </w:r>
      <w:r>
        <w:rPr>
          <w:sz w:val="28"/>
          <w:szCs w:val="28"/>
          <w:lang w:val="en-US"/>
        </w:rPr>
        <w:t xml:space="preserve">XVI</w:t>
      </w:r>
      <w:r>
        <w:rPr>
          <w:sz w:val="28"/>
          <w:szCs w:val="28"/>
        </w:rPr>
        <w:t xml:space="preserve"> века по указу Ивана Грозного земли по реке Пьяна были пожал</w:t>
      </w:r>
      <w:r>
        <w:rPr>
          <w:sz w:val="28"/>
          <w:szCs w:val="28"/>
        </w:rPr>
        <w:t xml:space="preserve">ованы воеводе Федору Ивановичу Бутурлину за великую службу царю в последнем походе на Казань. Так, между мордовскими поселениями возникло русское село Бутурлино, названное по имени владельца. 1552 год считается официальной датой рождения села Бутурлино. В </w:t>
      </w:r>
      <w:r>
        <w:rPr>
          <w:sz w:val="28"/>
          <w:szCs w:val="28"/>
          <w:lang w:val="en-US"/>
        </w:rPr>
        <w:t xml:space="preserve">XVIII</w:t>
      </w:r>
      <w:r>
        <w:rPr>
          <w:sz w:val="28"/>
          <w:szCs w:val="28"/>
        </w:rPr>
        <w:t xml:space="preserve"> веке завершается заселение края славянами и дальнейший уход мордвы </w:t>
      </w:r>
      <w:r>
        <w:rPr>
          <w:sz w:val="28"/>
          <w:szCs w:val="28"/>
        </w:rPr>
        <w:br/>
        <w:t xml:space="preserve">с Бутурлинских земель. В конце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 xml:space="preserve">XX</w:t>
      </w:r>
      <w:r>
        <w:rPr>
          <w:sz w:val="28"/>
          <w:szCs w:val="28"/>
        </w:rPr>
        <w:t xml:space="preserve"> веков волостное село Бутурлино славилось широко развитой торговлей. В июне 1929 года был создан Бутурлинский район. В декабре 1977 го</w:t>
      </w:r>
      <w:r>
        <w:rPr>
          <w:sz w:val="28"/>
          <w:szCs w:val="28"/>
        </w:rPr>
        <w:t xml:space="preserve">да село Бутурлино переименовано </w:t>
      </w:r>
      <w:r>
        <w:rPr>
          <w:sz w:val="28"/>
          <w:szCs w:val="28"/>
        </w:rPr>
        <w:t xml:space="preserve">в рабочий поселок.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Культурно-исторической достопримечательностью округа – является Бутурлинский историко-краеведческий музей. Здание построено </w:t>
      </w:r>
      <w:r>
        <w:rPr>
          <w:sz w:val="28"/>
          <w:szCs w:val="28"/>
        </w:rPr>
        <w:br/>
        <w:t xml:space="preserve">в 1894 году. В конце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- начале ХХ века дом принадлежал семье Силантьевых – местных торговцев. В настоящее время в нем располагается Бутурлинский историко-краеведческий музей, в котором собраны экспонаты, рассказывающие об истории Бутурлинского края.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Фонды Бутурлинского историко-краеведческого музея насчитывают более пяти тысяч экспонатов.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музее действует постоянная экспозиция по истории Бутурлинского края. Один из залов раскрывает тайны знаменитого борнуковского </w:t>
      </w:r>
      <w:r>
        <w:rPr>
          <w:sz w:val="28"/>
          <w:szCs w:val="28"/>
        </w:rPr>
        <w:t xml:space="preserve">камнерезного промысла, секреты мастеров-камнерезов и загадки камня-ангидрида.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По итогам </w:t>
      </w:r>
      <w:r>
        <w:rPr>
          <w:color w:val="000000"/>
          <w:sz w:val="28"/>
          <w:szCs w:val="28"/>
        </w:rPr>
        <w:t xml:space="preserve">1 квартала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г. Бутурлинский округ занимает </w:t>
      </w:r>
      <w:r>
        <w:rPr>
          <w:color w:val="000000"/>
          <w:sz w:val="28"/>
          <w:szCs w:val="28"/>
        </w:rPr>
        <w:t xml:space="preserve">21</w:t>
      </w:r>
      <w:r>
        <w:rPr>
          <w:color w:val="000000"/>
          <w:sz w:val="28"/>
          <w:szCs w:val="28"/>
        </w:rPr>
        <w:t xml:space="preserve"> место </w:t>
      </w:r>
      <w:r>
        <w:rPr>
          <w:color w:val="000000"/>
          <w:sz w:val="28"/>
          <w:szCs w:val="28"/>
        </w:rPr>
        <w:br/>
        <w:t xml:space="preserve">в рейтинге министерства экономики Нижегородской области, относится </w:t>
      </w:r>
      <w:r>
        <w:rPr>
          <w:color w:val="000000"/>
          <w:sz w:val="28"/>
          <w:szCs w:val="28"/>
        </w:rPr>
        <w:br/>
        <w:t xml:space="preserve">к территориям области со «средним» уровнем социально-экономического развития, за 20</w:t>
      </w: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  <w:t xml:space="preserve"> год – 1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место («средний»).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Бутурлинский округ относится к сельскохозяйственным территориям. </w:t>
      </w:r>
      <w:r>
        <w:rPr>
          <w:color w:val="000000"/>
          <w:sz w:val="28"/>
          <w:szCs w:val="28"/>
        </w:rPr>
        <w:t xml:space="preserve"> На 01.01.2025 года н</w:t>
      </w:r>
      <w:r>
        <w:rPr>
          <w:color w:val="000000"/>
          <w:sz w:val="28"/>
          <w:szCs w:val="28"/>
        </w:rPr>
        <w:t xml:space="preserve">асчитывается 1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сельхозпредприятий, 7 крестьянско-фермерских хозяйства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Бутурлинского округа имеются месторождения песка </w:t>
      </w:r>
      <w:r>
        <w:rPr>
          <w:sz w:val="28"/>
          <w:szCs w:val="28"/>
        </w:rPr>
        <w:br/>
        <w:t xml:space="preserve">и щебня. Добычу </w:t>
      </w:r>
      <w:r>
        <w:rPr>
          <w:sz w:val="28"/>
          <w:szCs w:val="28"/>
        </w:rPr>
        <w:t xml:space="preserve">вед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ООО</w:t>
      </w:r>
      <w:r>
        <w:rPr>
          <w:sz w:val="28"/>
          <w:szCs w:val="28"/>
        </w:rPr>
        <w:t xml:space="preserve"> «Ягубовский карьер».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333333"/>
          <w:sz w:val="28"/>
          <w:szCs w:val="28"/>
          <w:shd w:val="clear" w:color="auto" w:fill="fcf4e0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Округ</w:t>
      </w:r>
      <w:r>
        <w:rPr>
          <w:sz w:val="28"/>
          <w:szCs w:val="28"/>
        </w:rPr>
        <w:t xml:space="preserve"> не обладает достаточным промышленным потенциалом. </w:t>
      </w:r>
      <w:r>
        <w:rPr>
          <w:sz w:val="28"/>
          <w:szCs w:val="28"/>
        </w:rPr>
        <w:br/>
        <w:t xml:space="preserve">В этой связи в настоящее время в промышленном производстве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заняты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малых предприяти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:</w:t>
      </w:r>
      <w:r>
        <w:rPr>
          <w:color w:val="333333"/>
          <w:sz w:val="28"/>
          <w:szCs w:val="28"/>
          <w:shd w:val="clear" w:color="auto" w:fill="fcf4e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«Бутурлинский бекон»;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ИП Бирюков А.А.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ИП Ионычев А.А.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ИП Михеев М.Е.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ИП Шибаев А.В.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по Бутурлинско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у округу по состоянию на 01.</w:t>
      </w:r>
      <w:r>
        <w:rPr>
          <w:color w:val="000000"/>
          <w:sz w:val="28"/>
          <w:szCs w:val="28"/>
        </w:rPr>
        <w:t xml:space="preserve">01</w:t>
      </w:r>
      <w:r>
        <w:rPr>
          <w:color w:val="000000"/>
          <w:sz w:val="28"/>
          <w:szCs w:val="28"/>
        </w:rPr>
        <w:t xml:space="preserve">.202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зарегистрировано 5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– юридические лица, в районе зарегистрировано </w:t>
      </w:r>
      <w:r>
        <w:rPr>
          <w:color w:val="000000"/>
          <w:sz w:val="28"/>
          <w:szCs w:val="28"/>
        </w:rPr>
        <w:t xml:space="preserve">232</w:t>
      </w:r>
      <w:r>
        <w:rPr>
          <w:color w:val="000000"/>
          <w:sz w:val="28"/>
          <w:szCs w:val="28"/>
        </w:rPr>
        <w:t xml:space="preserve"> субъект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малого</w:t>
      </w:r>
      <w:r>
        <w:rPr>
          <w:color w:val="000000"/>
          <w:sz w:val="28"/>
          <w:szCs w:val="28"/>
        </w:rPr>
        <w:t xml:space="preserve"> и среднего</w:t>
      </w:r>
      <w:r>
        <w:rPr>
          <w:color w:val="000000"/>
          <w:sz w:val="28"/>
          <w:szCs w:val="28"/>
        </w:rPr>
        <w:t xml:space="preserve"> предпринимательства (далее - </w:t>
      </w:r>
      <w:r>
        <w:rPr>
          <w:color w:val="000000"/>
          <w:sz w:val="28"/>
          <w:szCs w:val="28"/>
        </w:rPr>
        <w:t xml:space="preserve">МСП</w:t>
      </w:r>
      <w:r>
        <w:rPr>
          <w:color w:val="000000"/>
          <w:sz w:val="28"/>
          <w:szCs w:val="28"/>
        </w:rPr>
        <w:t xml:space="preserve">), в т.ч. </w:t>
      </w:r>
      <w:r>
        <w:rPr>
          <w:color w:val="000000"/>
          <w:sz w:val="28"/>
          <w:szCs w:val="28"/>
        </w:rPr>
        <w:t xml:space="preserve">57</w:t>
      </w:r>
      <w:r>
        <w:rPr>
          <w:color w:val="000000"/>
          <w:sz w:val="28"/>
          <w:szCs w:val="28"/>
        </w:rPr>
        <w:t xml:space="preserve"> малых предприятий и </w:t>
      </w:r>
      <w:r>
        <w:rPr>
          <w:color w:val="000000"/>
          <w:sz w:val="28"/>
          <w:szCs w:val="28"/>
        </w:rPr>
        <w:t xml:space="preserve">175</w:t>
      </w:r>
      <w:r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 xml:space="preserve">ей</w:t>
      </w:r>
      <w:r>
        <w:rPr>
          <w:color w:val="000000"/>
          <w:sz w:val="28"/>
          <w:szCs w:val="28"/>
        </w:rPr>
        <w:t xml:space="preserve"> без образования юридического лица, </w:t>
      </w:r>
      <w:r>
        <w:rPr>
          <w:color w:val="000000"/>
          <w:sz w:val="28"/>
          <w:szCs w:val="28"/>
        </w:rPr>
        <w:t xml:space="preserve">746</w:t>
      </w:r>
      <w:r>
        <w:rPr>
          <w:color w:val="000000"/>
          <w:sz w:val="28"/>
          <w:szCs w:val="28"/>
        </w:rPr>
        <w:t xml:space="preserve"> налогоплательщик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z w:val="28"/>
          <w:szCs w:val="28"/>
        </w:rPr>
        <w:t xml:space="preserve"> налога на профессиональный доход. За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год отгружено товаров собственного производства, выполнено работ и услуг </w:t>
      </w:r>
      <w:r>
        <w:rPr>
          <w:sz w:val="28"/>
          <w:szCs w:val="28"/>
        </w:rPr>
        <w:t xml:space="preserve">по полному кругу организаций на сумму </w:t>
      </w:r>
      <w:r>
        <w:rPr>
          <w:sz w:val="28"/>
          <w:szCs w:val="28"/>
        </w:rPr>
        <w:t xml:space="preserve">4647,5</w:t>
      </w:r>
      <w:r>
        <w:rPr>
          <w:color w:val="000000"/>
          <w:sz w:val="28"/>
          <w:szCs w:val="28"/>
        </w:rPr>
        <w:t xml:space="preserve"> млн.руб.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20</w:t>
      </w:r>
      <w:r>
        <w:rPr>
          <w:spacing w:val="1"/>
          <w:sz w:val="28"/>
          <w:szCs w:val="28"/>
        </w:rPr>
        <w:t xml:space="preserve">%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20</w:t>
      </w:r>
      <w:r>
        <w:rPr>
          <w:color w:val="000000"/>
          <w:sz w:val="28"/>
          <w:szCs w:val="28"/>
        </w:rPr>
        <w:t xml:space="preserve">23</w:t>
      </w:r>
      <w:r>
        <w:rPr>
          <w:color w:val="000000"/>
          <w:sz w:val="28"/>
          <w:szCs w:val="28"/>
        </w:rPr>
        <w:t xml:space="preserve"> году)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доходы бюджета Бутурлинского округа в сумме составили </w:t>
      </w:r>
      <w:r>
        <w:rPr>
          <w:color w:val="000000"/>
          <w:sz w:val="28"/>
          <w:szCs w:val="28"/>
        </w:rPr>
        <w:t xml:space="preserve">1402,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млн. рублей, из них налоговых и неналоговых доходов </w:t>
      </w:r>
      <w:r>
        <w:rPr>
          <w:color w:val="000000"/>
          <w:sz w:val="28"/>
          <w:szCs w:val="28"/>
        </w:rPr>
        <w:t xml:space="preserve">345,0</w:t>
      </w:r>
      <w:r>
        <w:rPr>
          <w:color w:val="000000"/>
          <w:sz w:val="28"/>
          <w:szCs w:val="28"/>
        </w:rPr>
        <w:t xml:space="preserve"> млн.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Средний уровень заработной платы в Бутурлинском муниципальном округе за 2024 год составил 47690.64 т</w:t>
      </w:r>
      <w:r>
        <w:rPr>
          <w:color w:val="000000"/>
          <w:sz w:val="28"/>
          <w:szCs w:val="28"/>
        </w:rPr>
        <w:t xml:space="preserve">ыс</w:t>
      </w:r>
      <w:r>
        <w:rPr>
          <w:color w:val="000000"/>
          <w:sz w:val="28"/>
          <w:szCs w:val="28"/>
        </w:rPr>
        <w:t xml:space="preserve">.руб., по Нижегородской области - 67004.4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ыс</w:t>
      </w:r>
      <w:r>
        <w:rPr>
          <w:color w:val="000000"/>
          <w:sz w:val="28"/>
          <w:szCs w:val="28"/>
        </w:rPr>
        <w:t xml:space="preserve">.руб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безработицы в Бутурлинско</w:t>
      </w:r>
      <w:r>
        <w:rPr>
          <w:color w:val="000000"/>
          <w:sz w:val="28"/>
          <w:szCs w:val="28"/>
        </w:rPr>
        <w:t xml:space="preserve">м округе за 2024 год составил 0,</w:t>
      </w:r>
      <w:r>
        <w:rPr>
          <w:color w:val="000000"/>
          <w:sz w:val="28"/>
          <w:szCs w:val="28"/>
        </w:rPr>
        <w:t xml:space="preserve">01%, по Нижегородской области</w:t>
      </w:r>
      <w:r>
        <w:rPr>
          <w:color w:val="000000"/>
          <w:sz w:val="28"/>
          <w:szCs w:val="28"/>
        </w:rPr>
        <w:t xml:space="preserve"> – 0,03%.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Бутурлинского муниципального округа наход</w:t>
      </w:r>
      <w:r>
        <w:rPr>
          <w:color w:val="000000"/>
          <w:sz w:val="28"/>
          <w:szCs w:val="28"/>
        </w:rPr>
        <w:t xml:space="preserve">ятся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</w:t>
      </w:r>
      <w:r>
        <w:rPr>
          <w:color w:val="000000"/>
          <w:sz w:val="28"/>
          <w:szCs w:val="28"/>
        </w:rPr>
        <w:t xml:space="preserve">изкультурно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оздоровительный ко</w:t>
      </w:r>
      <w:r>
        <w:rPr>
          <w:color w:val="000000"/>
          <w:sz w:val="28"/>
          <w:szCs w:val="28"/>
        </w:rPr>
        <w:t xml:space="preserve">мплекс</w:t>
      </w:r>
      <w:r>
        <w:rPr>
          <w:color w:val="000000"/>
          <w:sz w:val="28"/>
          <w:szCs w:val="28"/>
        </w:rPr>
        <w:t xml:space="preserve"> открытого типа (ФОКОТ)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</w:t>
      </w:r>
      <w:r>
        <w:rPr>
          <w:color w:val="000000"/>
          <w:sz w:val="28"/>
          <w:szCs w:val="28"/>
        </w:rPr>
        <w:t xml:space="preserve">тадион -1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</w:t>
      </w:r>
      <w:r>
        <w:rPr>
          <w:color w:val="000000"/>
          <w:sz w:val="28"/>
          <w:szCs w:val="28"/>
        </w:rPr>
        <w:t xml:space="preserve">портивные залы школ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х</w:t>
      </w:r>
      <w:r>
        <w:rPr>
          <w:color w:val="000000"/>
          <w:sz w:val="28"/>
          <w:szCs w:val="28"/>
        </w:rPr>
        <w:t xml:space="preserve">оккейные коробки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4, что составляет 1,</w:t>
      </w:r>
      <w:r>
        <w:rPr>
          <w:color w:val="000000"/>
          <w:sz w:val="28"/>
          <w:szCs w:val="28"/>
        </w:rPr>
        <w:t xml:space="preserve">2 объекта на 1000 человек населения округа.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165 бутурлинцев выполнили нормативы ВФСК ГТО (65 –на золотой знак отличия,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серебряный,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48 – на бронзовый)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Бутурлинском муниципальном округе функционирует ярмарка выходного дня,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специализация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универсальная,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140 торговых точек, а также имеется 7 супермаркетов,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 специализированных продовольственных</w:t>
      </w:r>
      <w:r>
        <w:rPr>
          <w:color w:val="000000"/>
          <w:sz w:val="28"/>
          <w:szCs w:val="28"/>
        </w:rPr>
        <w:t xml:space="preserve"> и 4 универсальных магазина, в которых осуществляют продажу овощей и фруктов в пешей доступности.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точек по продаже алкоголя и табака в округе составляет 3 точки на 1000 человек </w:t>
      </w:r>
      <w:r>
        <w:rPr>
          <w:color w:val="000000"/>
          <w:sz w:val="28"/>
          <w:szCs w:val="28"/>
        </w:rPr>
        <w:t xml:space="preserve">населения.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Смер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ность населения в Бутурлинском муниципальном округе приведена в таблице 1.</w:t>
      </w:r>
      <w:r>
        <w:rPr>
          <w:color w:val="000000"/>
          <w:sz w:val="28"/>
          <w:szCs w:val="28"/>
        </w:rPr>
      </w:r>
    </w:p>
    <w:p>
      <w:pPr>
        <w:ind w:left="708" w:right="-283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Таблица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</w:r>
    </w:p>
    <w:tbl>
      <w:tblPr>
        <w:tblStyle w:val="76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1"/>
        <w:gridCol w:w="850"/>
        <w:gridCol w:w="851"/>
        <w:gridCol w:w="708"/>
        <w:gridCol w:w="851"/>
        <w:gridCol w:w="709"/>
        <w:gridCol w:w="708"/>
        <w:gridCol w:w="662"/>
        <w:gridCol w:w="756"/>
        <w:gridCol w:w="850"/>
        <w:gridCol w:w="709"/>
      </w:tblGrid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Причина</w:t>
            </w: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смерти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4"/>
            <w:tcW w:w="32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Умерло всего (абс), человек и относительный показатель на1000 населения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4"/>
            <w:tcW w:w="2976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Женщины(абс), человек</w:t>
            </w: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относительный показатель на 1000 населения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4"/>
            <w:tcW w:w="2977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Мужчины(абс), человек</w:t>
            </w: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относительный показатель на 1000 населения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2024 год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2000-2024 гг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2024 год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2000-2024 гг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2024 год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2000-2024 гг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абс.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 1000 населения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Всего умерших от всех причин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210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16.3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1127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86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12.4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522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124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20.7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605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В том числе, от: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Злокачественных новообразований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12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0.93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91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0.58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40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1.33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51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Болезней системы кровообращения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106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8.21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581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7.96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299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51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8.5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282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Сахарного диабета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0.15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0.14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0.17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Болезней органов дыхания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1.01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0.43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11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1.67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Болезней органов пищеварения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1.16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54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0.72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21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1.67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33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  <w:t xml:space="preserve">Внешних причин</w:t>
            </w:r>
            <w:r>
              <w:rPr>
                <w:rFonts w:eastAsiaTheme="minorHAnsi"/>
                <w:color w:val="000000"/>
                <w:szCs w:val="24"/>
                <w:shd w:val="clear" w:color="auto" w:fill="ffffff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1.78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69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0.58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15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662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19</w:t>
            </w:r>
            <w:r>
              <w:rPr>
                <w:color w:val="000000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3.17</w:t>
            </w:r>
            <w:r>
              <w:rPr>
                <w:color w:val="000000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54</w:t>
            </w:r>
            <w:r>
              <w:rPr>
                <w:color w:val="000000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</w:tbl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Демографические характеристики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За 202</w:t>
      </w:r>
      <w:r>
        <w:rPr>
          <w:iCs/>
          <w:color w:val="000000"/>
          <w:sz w:val="28"/>
          <w:szCs w:val="28"/>
        </w:rPr>
        <w:t xml:space="preserve">4</w:t>
      </w:r>
      <w:r>
        <w:rPr>
          <w:iCs/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 xml:space="preserve">в Бутурлинском округе родилось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64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ребенка</w:t>
      </w:r>
      <w:r>
        <w:rPr>
          <w:color w:val="000000"/>
          <w:sz w:val="28"/>
          <w:szCs w:val="28"/>
        </w:rPr>
        <w:t xml:space="preserve">, у</w:t>
      </w:r>
      <w:r>
        <w:rPr>
          <w:color w:val="000000"/>
          <w:sz w:val="28"/>
          <w:szCs w:val="28"/>
        </w:rPr>
        <w:t xml:space="preserve">мерло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21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Численность населения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01.01.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2766</w:t>
      </w:r>
      <w:r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 xml:space="preserve">0,4</w:t>
      </w:r>
      <w:r>
        <w:rPr>
          <w:sz w:val="28"/>
          <w:szCs w:val="28"/>
        </w:rPr>
        <w:t xml:space="preserve">% от населения Нижегородской области).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Городское население -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772</w:t>
      </w:r>
      <w:r>
        <w:rPr>
          <w:sz w:val="28"/>
          <w:szCs w:val="28"/>
        </w:rPr>
        <w:t xml:space="preserve"> человека (</w:t>
      </w:r>
      <w:r>
        <w:rPr>
          <w:sz w:val="28"/>
          <w:szCs w:val="28"/>
        </w:rPr>
        <w:t xml:space="preserve">0,2</w:t>
      </w:r>
      <w:r>
        <w:rPr>
          <w:sz w:val="28"/>
          <w:szCs w:val="28"/>
        </w:rPr>
        <w:t xml:space="preserve">%), сельское население - </w:t>
      </w:r>
      <w:r>
        <w:rPr>
          <w:sz w:val="28"/>
          <w:szCs w:val="28"/>
        </w:rPr>
        <w:t xml:space="preserve">5994</w:t>
      </w:r>
      <w:r>
        <w:rPr>
          <w:sz w:val="28"/>
          <w:szCs w:val="28"/>
        </w:rPr>
        <w:t xml:space="preserve"> человека (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%).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Детское население (0-1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лет) составляет 2290 человек (17%).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Трудоспособное население составляет 6</w:t>
      </w:r>
      <w:r>
        <w:rPr>
          <w:sz w:val="28"/>
          <w:szCs w:val="28"/>
        </w:rPr>
        <w:t xml:space="preserve">728</w:t>
      </w:r>
      <w:r>
        <w:rPr>
          <w:sz w:val="28"/>
          <w:szCs w:val="28"/>
        </w:rPr>
        <w:t xml:space="preserve"> человек (52%).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составляют </w:t>
      </w:r>
      <w:r>
        <w:rPr>
          <w:sz w:val="28"/>
          <w:szCs w:val="28"/>
        </w:rPr>
        <w:t xml:space="preserve">3953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(31%).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естественного движения населения в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 Бутурлинском муниципальном округе Нижегородской области (рождаемость – 6,4 на 1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населения, смертность составляет 16,3 на 1 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0"/>
        <w:ind w:left="0"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Основные показатели здоровья населения Бутурлинского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муниципального округа Нижегородской области</w:t>
      </w:r>
      <w:r>
        <w:rPr>
          <w:rFonts w:cs="Times New Roman"/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Показатель распространенности всех болезней среди населения </w:t>
      </w:r>
      <w:r>
        <w:rPr>
          <w:sz w:val="28"/>
          <w:szCs w:val="28"/>
        </w:rPr>
        <w:t xml:space="preserve">Бутурлинского округа </w:t>
      </w:r>
      <w:r>
        <w:rPr>
          <w:sz w:val="28"/>
          <w:szCs w:val="28"/>
        </w:rPr>
        <w:t xml:space="preserve">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 составляет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52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тыс. </w:t>
      </w:r>
      <w:r>
        <w:rPr>
          <w:sz w:val="28"/>
          <w:szCs w:val="28"/>
        </w:rPr>
        <w:t xml:space="preserve">населения,</w:t>
      </w:r>
      <w:r>
        <w:rPr>
          <w:sz w:val="28"/>
          <w:szCs w:val="28"/>
        </w:rPr>
        <w:t xml:space="preserve"> НО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956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из них: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среди взрослого населения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871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 1 тыс. населения (НО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95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среди подростков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497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на 1 тыс. подростков (НО </w:t>
      </w:r>
      <w:r>
        <w:rPr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793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58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среди детей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1775</w:t>
      </w:r>
      <w:r>
        <w:rPr>
          <w:sz w:val="28"/>
          <w:szCs w:val="28"/>
        </w:rPr>
        <w:t xml:space="preserve">,6</w:t>
      </w:r>
      <w:r>
        <w:rPr>
          <w:sz w:val="28"/>
          <w:szCs w:val="28"/>
        </w:rPr>
        <w:t xml:space="preserve"> на 1 тыс. населения детского возраста (НО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694,22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Показатель распространенности травм и отравлений в </w:t>
      </w:r>
      <w:r>
        <w:rPr>
          <w:sz w:val="28"/>
          <w:szCs w:val="28"/>
        </w:rPr>
        <w:t xml:space="preserve">Бутурлинском округе 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составляет </w:t>
      </w:r>
      <w:r>
        <w:rPr>
          <w:sz w:val="28"/>
          <w:szCs w:val="28"/>
        </w:rPr>
        <w:t xml:space="preserve">91,5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тыс. человек взрослого населения (НО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62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Показатель распространенности болезней в </w:t>
      </w:r>
      <w:r>
        <w:rPr>
          <w:sz w:val="28"/>
          <w:szCs w:val="28"/>
        </w:rPr>
        <w:t xml:space="preserve">Бутурлинском округе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болезней системы кровообращения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576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      1 тыс. человек взросл</w:t>
      </w:r>
      <w:r>
        <w:rPr>
          <w:sz w:val="28"/>
          <w:szCs w:val="28"/>
        </w:rPr>
        <w:t xml:space="preserve">ого населения, в сравнении с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– 4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(НО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420,41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Cs w:val="24"/>
        </w:rPr>
      </w:pPr>
      <w:r>
        <w:rPr>
          <w:sz w:val="28"/>
          <w:szCs w:val="28"/>
        </w:rPr>
        <w:t xml:space="preserve">- сахарным диабетом 2 типа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составляет </w:t>
      </w:r>
      <w:r>
        <w:rPr>
          <w:sz w:val="28"/>
          <w:szCs w:val="28"/>
        </w:rPr>
        <w:t xml:space="preserve">47,7</w:t>
      </w:r>
      <w:r>
        <w:rPr>
          <w:sz w:val="28"/>
          <w:szCs w:val="28"/>
        </w:rPr>
        <w:t xml:space="preserve"> на 1 тыс. человек взрослого населения, в сравнении с    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годом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38,2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 -</w:t>
      </w:r>
      <w:r>
        <w:rPr>
          <w:sz w:val="28"/>
          <w:szCs w:val="28"/>
        </w:rPr>
        <w:t xml:space="preserve">59,4</w:t>
      </w:r>
      <w:r>
        <w:rPr>
          <w:sz w:val="28"/>
          <w:szCs w:val="28"/>
        </w:rPr>
        <w:t xml:space="preserve">); </w:t>
      </w:r>
      <w:r>
        <w:rPr>
          <w:szCs w:val="24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болезней органов дыхания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составляет </w:t>
      </w:r>
      <w:r>
        <w:rPr>
          <w:sz w:val="28"/>
          <w:szCs w:val="28"/>
        </w:rPr>
        <w:t xml:space="preserve">306,2</w:t>
      </w:r>
      <w:r>
        <w:rPr>
          <w:sz w:val="28"/>
          <w:szCs w:val="28"/>
        </w:rPr>
        <w:t xml:space="preserve"> на 1 тыс. человек взрослого населения, в сравнении с 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годом 245</w:t>
      </w:r>
      <w:r>
        <w:rPr>
          <w:sz w:val="28"/>
          <w:szCs w:val="28"/>
        </w:rPr>
        <w:t xml:space="preserve">,1</w:t>
      </w:r>
      <w:r>
        <w:rPr>
          <w:sz w:val="28"/>
          <w:szCs w:val="28"/>
        </w:rPr>
        <w:t xml:space="preserve"> (НО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394,62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в </w:t>
      </w:r>
      <w:r>
        <w:rPr>
          <w:sz w:val="28"/>
          <w:szCs w:val="28"/>
        </w:rPr>
        <w:t xml:space="preserve">Бутурлинском округе </w:t>
      </w:r>
      <w:r>
        <w:rPr>
          <w:sz w:val="28"/>
          <w:szCs w:val="28"/>
        </w:rPr>
        <w:t xml:space="preserve">показатель заболеваемости онкологическими заболеваниями составляет </w:t>
      </w:r>
      <w:r>
        <w:rPr>
          <w:sz w:val="28"/>
          <w:szCs w:val="28"/>
        </w:rPr>
        <w:t xml:space="preserve">495,7</w:t>
      </w:r>
      <w:r>
        <w:rPr>
          <w:sz w:val="28"/>
          <w:szCs w:val="28"/>
        </w:rPr>
        <w:t xml:space="preserve"> на 100 тысяч населения (НО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581,9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смертности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93,0</w:t>
      </w:r>
      <w:r>
        <w:rPr>
          <w:sz w:val="28"/>
          <w:szCs w:val="28"/>
        </w:rPr>
        <w:t xml:space="preserve"> на 100 тысяч населения (НО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180,1</w:t>
      </w:r>
      <w:r>
        <w:rPr>
          <w:sz w:val="28"/>
          <w:szCs w:val="28"/>
        </w:rPr>
        <w:t xml:space="preserve">), распространенности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3230,1</w:t>
      </w:r>
      <w:r>
        <w:rPr>
          <w:sz w:val="28"/>
          <w:szCs w:val="28"/>
        </w:rPr>
        <w:t xml:space="preserve"> на 100 тысяч населения (НО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3226,6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Одногодичная летальность от онкопатологии 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 xml:space="preserve">11,7</w:t>
      </w:r>
      <w:r>
        <w:rPr>
          <w:sz w:val="28"/>
          <w:szCs w:val="28"/>
        </w:rPr>
        <w:t xml:space="preserve">% (НО – </w:t>
      </w:r>
      <w:r>
        <w:rPr>
          <w:sz w:val="28"/>
          <w:szCs w:val="28"/>
        </w:rPr>
        <w:t xml:space="preserve">16,7</w:t>
      </w:r>
      <w:r>
        <w:rPr>
          <w:sz w:val="28"/>
          <w:szCs w:val="28"/>
        </w:rPr>
        <w:t xml:space="preserve">%), запущенность – </w:t>
      </w:r>
      <w:r>
        <w:rPr>
          <w:sz w:val="28"/>
          <w:szCs w:val="28"/>
        </w:rPr>
        <w:t xml:space="preserve">27,6</w:t>
      </w:r>
      <w:r>
        <w:rPr>
          <w:sz w:val="28"/>
          <w:szCs w:val="28"/>
        </w:rPr>
        <w:t xml:space="preserve">% (НО – 19%), активная выявляемость – </w:t>
      </w:r>
      <w:r>
        <w:rPr>
          <w:sz w:val="28"/>
          <w:szCs w:val="28"/>
        </w:rPr>
        <w:t xml:space="preserve">37,7</w:t>
      </w:r>
      <w:r>
        <w:rPr>
          <w:sz w:val="28"/>
          <w:szCs w:val="28"/>
        </w:rPr>
        <w:t xml:space="preserve">% (НО – </w:t>
      </w:r>
      <w:r>
        <w:rPr>
          <w:sz w:val="28"/>
          <w:szCs w:val="28"/>
        </w:rPr>
        <w:t xml:space="preserve">26,5</w:t>
      </w:r>
      <w:r>
        <w:rPr>
          <w:sz w:val="28"/>
          <w:szCs w:val="28"/>
        </w:rPr>
        <w:t xml:space="preserve">%).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0"/>
        <w:ind w:left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Ресурсы в области охраны здоровья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Бутурлинского муниципального округа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Нижегородской области</w:t>
      </w:r>
      <w:r>
        <w:rPr>
          <w:rFonts w:cs="Times New Roman"/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населения врачами составляет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19,6</w:t>
      </w:r>
      <w:r>
        <w:rPr>
          <w:sz w:val="28"/>
          <w:szCs w:val="28"/>
        </w:rPr>
        <w:t xml:space="preserve"> на 10 тыс. населения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,4</w:t>
      </w:r>
      <w:r>
        <w:rPr>
          <w:sz w:val="28"/>
          <w:szCs w:val="28"/>
        </w:rPr>
        <w:t xml:space="preserve">), в том числе: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врачами клинических специальностей - 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 10 тыс. населения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– 1</w:t>
      </w:r>
      <w:r>
        <w:rPr>
          <w:sz w:val="28"/>
          <w:szCs w:val="28"/>
        </w:rPr>
        <w:t xml:space="preserve">1,6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средним медицинским персоналом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69,7</w:t>
      </w:r>
      <w:r>
        <w:rPr>
          <w:sz w:val="28"/>
          <w:szCs w:val="28"/>
        </w:rPr>
        <w:t xml:space="preserve"> на 10 тыс. населения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-</w:t>
      </w:r>
      <w:r>
        <w:rPr>
          <w:sz w:val="28"/>
          <w:szCs w:val="28"/>
        </w:rPr>
        <w:t xml:space="preserve">68,8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врачами участковой службы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на 10 тыс. населения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врачами-терапевтами участковыми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на 10 тыс. населения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</w:t>
      </w:r>
      <w:r>
        <w:rPr>
          <w:sz w:val="28"/>
          <w:szCs w:val="28"/>
        </w:rPr>
        <w:t xml:space="preserve">77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врачами общей практики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1,56</w:t>
      </w:r>
      <w:r>
        <w:rPr>
          <w:sz w:val="28"/>
          <w:szCs w:val="28"/>
        </w:rPr>
        <w:t xml:space="preserve"> на 10 тыс. населения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-1,54)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Укомплектованность врачебных должностей участковой службы в     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86,1</w:t>
      </w:r>
      <w:r>
        <w:rPr>
          <w:sz w:val="28"/>
          <w:szCs w:val="28"/>
        </w:rPr>
        <w:t xml:space="preserve">%, врачами участковой службы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  <w:t xml:space="preserve">%, медицинских сестёр участковой службы – </w:t>
      </w:r>
      <w:r>
        <w:rPr>
          <w:sz w:val="28"/>
          <w:szCs w:val="28"/>
        </w:rPr>
        <w:t xml:space="preserve">100</w:t>
      </w:r>
      <w:r>
        <w:rPr>
          <w:sz w:val="28"/>
          <w:szCs w:val="28"/>
        </w:rPr>
        <w:t xml:space="preserve">%. Укомплектованность участков ВОП врачами общей практики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составляла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ФАП и ФП составляет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единиц (в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-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), укомплектованность должностей среднего медицинского персонала составляет </w:t>
      </w:r>
      <w:r>
        <w:rPr>
          <w:sz w:val="28"/>
          <w:szCs w:val="28"/>
        </w:rPr>
        <w:t xml:space="preserve">98,4</w:t>
      </w:r>
      <w:r>
        <w:rPr>
          <w:sz w:val="28"/>
          <w:szCs w:val="28"/>
        </w:rPr>
        <w:t xml:space="preserve">%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и </w:t>
      </w:r>
      <w:r>
        <w:rPr>
          <w:sz w:val="28"/>
          <w:szCs w:val="28"/>
        </w:rPr>
        <w:t xml:space="preserve">98,4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году. </w:t>
      </w:r>
      <w:r>
        <w:rPr>
          <w:sz w:val="28"/>
          <w:szCs w:val="28"/>
        </w:rPr>
        <w:t xml:space="preserve">По данным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первичную медико-санитарную помощь оказывают: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ГБУЗНО «</w:t>
      </w:r>
      <w:r>
        <w:rPr>
          <w:sz w:val="28"/>
          <w:szCs w:val="28"/>
        </w:rPr>
        <w:t xml:space="preserve">Бутурлинская </w:t>
      </w:r>
      <w:r>
        <w:rPr>
          <w:sz w:val="28"/>
          <w:szCs w:val="28"/>
        </w:rPr>
        <w:t xml:space="preserve">центральная районная больница»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развернутыми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койками</w:t>
      </w:r>
      <w:r>
        <w:rPr>
          <w:sz w:val="28"/>
          <w:szCs w:val="28"/>
        </w:rPr>
        <w:t xml:space="preserve"> круглосуточного пребывания и 31 койками дневного пребывания и </w:t>
      </w:r>
      <w:r>
        <w:rPr>
          <w:sz w:val="28"/>
          <w:szCs w:val="28"/>
        </w:rPr>
        <w:t xml:space="preserve">мощностью амбулаторно-поликлинического </w:t>
      </w:r>
      <w:r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370</w:t>
      </w:r>
      <w:r>
        <w:rPr>
          <w:sz w:val="28"/>
          <w:szCs w:val="28"/>
        </w:rPr>
        <w:t xml:space="preserve"> посещений в день</w:t>
      </w:r>
      <w:r>
        <w:rPr>
          <w:sz w:val="28"/>
          <w:szCs w:val="28"/>
        </w:rPr>
        <w:t xml:space="preserve"> (с учетом 3-х врачебных амбулаторий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4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2.2.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Цели и задачи Программы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определяет</w:t>
      </w:r>
      <w:r>
        <w:rPr>
          <w:sz w:val="28"/>
          <w:szCs w:val="28"/>
        </w:rPr>
        <w:t xml:space="preserve"> цели, задачи, основные направления и основные мероприятия по профилактике и раннему выявлению хронических неин</w:t>
      </w:r>
      <w:r>
        <w:rPr>
          <w:sz w:val="28"/>
          <w:szCs w:val="28"/>
        </w:rPr>
        <w:t xml:space="preserve">фекционных заболеваний, являющихся основной причиной инвалидности и преждевременной смертности населения, факторов риска их развития, а также по выявлению групп риска и факторов распространенности поведенческих факторов риска развития неинфекционных заболе</w:t>
      </w:r>
      <w:r>
        <w:rPr>
          <w:sz w:val="28"/>
          <w:szCs w:val="28"/>
        </w:rPr>
        <w:t xml:space="preserve">ваний (потребление табака, чрезмерное потребление алкоголя, низкий уровень физической активности, неправильное питание, повышенное артериальное давление), финансовое обеспечение, механизмы реализации планируемых мероприятий, показатели их результативности.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Целями Программы являются: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Улучшение здоровья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населения Бутурлинского муниципального округа Нижегородской области.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Качества жизни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населения Бутурлинского муниципального округа Нижегородской области.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культуры общественного здоровья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населения Бутурлинского муниципального округа Нижегородской области.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Ответственного отношения к здоровью</w:t>
      </w:r>
      <w:r>
        <w:rPr>
          <w:color w:val="000000"/>
          <w:sz w:val="28"/>
          <w:szCs w:val="28"/>
        </w:rPr>
        <w:t xml:space="preserve"> населения Бутурлинского муниципального округа Нижегородской области.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задачи Программы: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ормирование системы мотивации граждан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 Нижегородской</w:t>
      </w:r>
      <w:r>
        <w:rPr>
          <w:sz w:val="28"/>
          <w:szCs w:val="28"/>
        </w:rPr>
        <w:t xml:space="preserve"> области к здоровому образу жизни, включая здоровое питание и отказ от вредных привычек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ормир</w:t>
      </w:r>
      <w:r>
        <w:rPr>
          <w:sz w:val="28"/>
          <w:szCs w:val="28"/>
        </w:rPr>
        <w:t xml:space="preserve">ование среды жизнедеятельности, </w:t>
      </w:r>
      <w:r>
        <w:rPr>
          <w:sz w:val="28"/>
          <w:szCs w:val="28"/>
        </w:rPr>
        <w:t xml:space="preserve">способствующей общественному здоровью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ормирование межведомственных связей по созданию условий, направленных на оздоровление населения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Бутурлинского муниципального округа Нижегородской области.</w:t>
      </w:r>
      <w:r>
        <w:rPr>
          <w:color w:val="000000"/>
          <w:sz w:val="28"/>
          <w:szCs w:val="28"/>
        </w:rPr>
      </w:r>
    </w:p>
    <w:p>
      <w:pPr>
        <w:pStyle w:val="790"/>
        <w:ind w:left="0" w:firstLine="709"/>
        <w:jc w:val="both"/>
        <w:rPr>
          <w:rFonts w:cs="Times New Roman"/>
          <w:sz w:val="28"/>
          <w:szCs w:val="28"/>
          <w:highlight w:val="yellow"/>
        </w:rPr>
      </w:pPr>
      <w:r>
        <w:rPr>
          <w:rFonts w:cs="Times New Roman"/>
          <w:sz w:val="28"/>
          <w:szCs w:val="28"/>
          <w:highlight w:val="yellow"/>
        </w:rPr>
      </w:r>
      <w:r>
        <w:rPr>
          <w:rFonts w:cs="Times New Roman"/>
          <w:sz w:val="28"/>
          <w:szCs w:val="28"/>
          <w:highlight w:val="yellow"/>
        </w:rPr>
      </w:r>
    </w:p>
    <w:p>
      <w:pPr>
        <w:jc w:val="center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 xml:space="preserve">Сроки и этапы реализации Программы</w:t>
      </w:r>
      <w:r>
        <w:rPr>
          <w:b/>
          <w:sz w:val="28"/>
          <w:szCs w:val="28"/>
        </w:rPr>
      </w:r>
    </w:p>
    <w:p>
      <w:pPr>
        <w:ind w:firstLine="54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реализуется </w:t>
      </w:r>
      <w:r>
        <w:rPr>
          <w:color w:val="000000"/>
          <w:sz w:val="28"/>
          <w:szCs w:val="28"/>
        </w:rPr>
        <w:t xml:space="preserve">в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- 20</w:t>
      </w:r>
      <w:r>
        <w:rPr>
          <w:color w:val="000000"/>
          <w:sz w:val="28"/>
          <w:szCs w:val="28"/>
        </w:rPr>
        <w:t xml:space="preserve">30</w:t>
      </w:r>
      <w:r>
        <w:rPr>
          <w:color w:val="000000"/>
          <w:sz w:val="28"/>
          <w:szCs w:val="28"/>
        </w:rPr>
        <w:t xml:space="preserve"> годах.</w:t>
      </w:r>
      <w:r>
        <w:rPr>
          <w:color w:val="000000"/>
          <w:sz w:val="28"/>
          <w:szCs w:val="28"/>
        </w:rPr>
      </w:r>
    </w:p>
    <w:p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выполняется в один этап.</w:t>
      </w:r>
      <w:r>
        <w:rPr>
          <w:color w:val="000000"/>
          <w:sz w:val="28"/>
          <w:szCs w:val="28"/>
        </w:rPr>
      </w:r>
    </w:p>
    <w:p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2"/>
        </w:numPr>
        <w:ind w:hanging="907"/>
        <w:widowControl w:val="off"/>
        <w:tabs>
          <w:tab w:val="num" w:pos="284" w:leader="none"/>
          <w:tab w:val="clear" w:pos="720" w:leader="none"/>
        </w:tabs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Перечень </w:t>
      </w:r>
      <w:r>
        <w:rPr>
          <w:b/>
          <w:color w:val="000000"/>
          <w:sz w:val="28"/>
          <w:szCs w:val="28"/>
        </w:rPr>
        <w:t xml:space="preserve">основных мероприятий муниципальной программы</w:t>
      </w:r>
      <w:r>
        <w:rPr>
          <w:b/>
          <w:color w:val="000000"/>
          <w:sz w:val="28"/>
          <w:szCs w:val="28"/>
        </w:rPr>
      </w:r>
    </w:p>
    <w:p>
      <w:pPr>
        <w:ind w:left="720"/>
        <w:widowControl w:val="off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Style w:val="796"/>
        <w:tblW w:w="10652" w:type="dxa"/>
        <w:tblInd w:w="-1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081"/>
        <w:gridCol w:w="818"/>
        <w:gridCol w:w="2359"/>
        <w:gridCol w:w="510"/>
        <w:gridCol w:w="518"/>
        <w:gridCol w:w="560"/>
        <w:gridCol w:w="518"/>
        <w:gridCol w:w="546"/>
        <w:gridCol w:w="623"/>
      </w:tblGrid>
      <w:tr>
        <w:tblPrEx/>
        <w:trPr>
          <w:trHeight w:val="689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797"/>
              <w:ind w:left="178"/>
              <w:spacing w:before="10"/>
              <w:rPr>
                <w:sz w:val="20"/>
                <w:lang w:val="ru-RU"/>
              </w:rPr>
            </w:pPr>
            <w:r>
              <w:rPr>
                <w:spacing w:val="-10"/>
                <w:sz w:val="20"/>
              </w:rPr>
              <w:t xml:space="preserve">N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115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п/п</w:t>
            </w:r>
            <w:r>
              <w:rPr>
                <w:sz w:val="20"/>
                <w:lang w:val="ru-RU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797"/>
              <w:ind w:left="225" w:hanging="71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Наименование мероприятия</w:t>
            </w:r>
            <w:r>
              <w:rPr>
                <w:sz w:val="20"/>
                <w:lang w:val="ru-RU"/>
              </w:rPr>
            </w:r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pStyle w:val="797"/>
              <w:ind w:left="92" w:right="72" w:firstLine="35"/>
              <w:jc w:val="both"/>
              <w:spacing w:before="10"/>
              <w:rPr>
                <w:sz w:val="16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Категория расходов </w:t>
            </w:r>
            <w:r>
              <w:rPr>
                <w:spacing w:val="-2"/>
                <w:sz w:val="16"/>
                <w:lang w:val="ru-RU"/>
              </w:rPr>
              <w:t xml:space="preserve">(капвложения</w:t>
            </w:r>
            <w:r>
              <w:rPr>
                <w:sz w:val="16"/>
                <w:lang w:val="ru-RU"/>
              </w:rPr>
              <w:t xml:space="preserve">,</w:t>
            </w:r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 xml:space="preserve">НИОКР</w:t>
            </w:r>
            <w:r>
              <w:rPr>
                <w:spacing w:val="-2"/>
                <w:sz w:val="16"/>
                <w:lang w:val="ru-RU"/>
              </w:rPr>
              <w:t xml:space="preserve"> </w:t>
            </w:r>
            <w:r>
              <w:rPr>
                <w:spacing w:val="-10"/>
                <w:sz w:val="16"/>
                <w:lang w:val="ru-RU"/>
              </w:rPr>
              <w:t xml:space="preserve">и</w:t>
            </w:r>
            <w:r>
              <w:rPr>
                <w:spacing w:val="-10"/>
                <w:sz w:val="16"/>
                <w:lang w:val="ru-RU"/>
              </w:rPr>
              <w:t xml:space="preserve"> </w:t>
            </w:r>
            <w:r>
              <w:rPr>
                <w:spacing w:val="-2"/>
                <w:sz w:val="16"/>
                <w:lang w:val="ru-RU"/>
              </w:rPr>
              <w:t xml:space="preserve">прочие</w:t>
            </w:r>
            <w:r>
              <w:rPr>
                <w:spacing w:val="40"/>
                <w:sz w:val="16"/>
                <w:lang w:val="ru-RU"/>
              </w:rPr>
              <w:t xml:space="preserve"> </w:t>
            </w:r>
            <w:r>
              <w:rPr>
                <w:spacing w:val="-2"/>
                <w:sz w:val="16"/>
                <w:lang w:val="ru-RU"/>
              </w:rPr>
              <w:t xml:space="preserve">расходы)</w:t>
            </w:r>
            <w:r>
              <w:rPr>
                <w:sz w:val="16"/>
                <w:lang w:val="ru-RU"/>
              </w:rPr>
            </w:r>
          </w:p>
        </w:tc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797"/>
              <w:ind w:left="114" w:right="17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Сроки выполнен</w:t>
            </w:r>
            <w:r>
              <w:rPr>
                <w:spacing w:val="-6"/>
                <w:sz w:val="20"/>
                <w:lang w:val="ru-RU"/>
              </w:rPr>
              <w:t xml:space="preserve">ия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vMerge w:val="restart"/>
            <w:textDirection w:val="lrTb"/>
            <w:noWrap w:val="false"/>
          </w:tcPr>
          <w:p>
            <w:pPr>
              <w:pStyle w:val="797"/>
              <w:ind w:left="218" w:hanging="8"/>
              <w:spacing w:before="10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Исполнители мероприятий</w:t>
            </w:r>
            <w:r>
              <w:rPr>
                <w:sz w:val="20"/>
              </w:rPr>
            </w:r>
          </w:p>
        </w:tc>
        <w:tc>
          <w:tcPr>
            <w:gridSpan w:val="6"/>
            <w:tcBorders>
              <w:right w:val="single" w:color="auto" w:sz="4" w:space="0"/>
            </w:tcBorders>
            <w:tcW w:w="3275" w:type="dxa"/>
            <w:textDirection w:val="lrTb"/>
            <w:noWrap w:val="false"/>
          </w:tcPr>
          <w:p>
            <w:pPr>
              <w:pStyle w:val="797"/>
              <w:ind w:left="441" w:right="327"/>
              <w:jc w:val="center"/>
              <w:spacing w:line="230" w:lineRule="atLeas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Объем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финансирования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(по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годам)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счет средств бюджета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376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08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8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23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797"/>
              <w:ind w:left="83"/>
              <w:spacing w:before="10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202</w:t>
            </w:r>
            <w:r>
              <w:rPr>
                <w:spacing w:val="-4"/>
                <w:sz w:val="20"/>
                <w:lang w:val="ru-RU"/>
              </w:rPr>
              <w:t xml:space="preserve">6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right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spacing w:before="10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202</w:t>
            </w:r>
            <w:r>
              <w:rPr>
                <w:spacing w:val="-4"/>
                <w:sz w:val="20"/>
                <w:lang w:val="ru-RU"/>
              </w:rPr>
              <w:t xml:space="preserve">7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202</w:t>
            </w:r>
            <w:r>
              <w:rPr>
                <w:spacing w:val="-4"/>
                <w:sz w:val="20"/>
                <w:lang w:val="ru-RU"/>
              </w:rPr>
              <w:t xml:space="preserve">9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79"/>
              <w:spacing w:before="10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Всего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1445"/>
        </w:trPr>
        <w:tc>
          <w:tcPr>
            <w:tcW w:w="567" w:type="dxa"/>
            <w:textDirection w:val="lrTb"/>
            <w:noWrap w:val="false"/>
          </w:tcPr>
          <w:p>
            <w:pPr>
              <w:pStyle w:val="797"/>
              <w:ind w:left="74" w:right="87"/>
              <w:tabs>
                <w:tab w:val="left" w:pos="19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6810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Цель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программы:</w:t>
            </w:r>
            <w:r>
              <w:rPr>
                <w:sz w:val="20"/>
              </w:rPr>
            </w:r>
          </w:p>
          <w:p>
            <w:pPr>
              <w:pStyle w:val="797"/>
              <w:numPr>
                <w:ilvl w:val="0"/>
                <w:numId w:val="38"/>
              </w:numPr>
              <w:ind w:left="74" w:right="1423" w:firstLine="0"/>
              <w:tabs>
                <w:tab w:val="left" w:pos="240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Улучшение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здоровья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населения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Бутурлинского муниципального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округа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Нижегородской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области.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numPr>
                <w:ilvl w:val="0"/>
                <w:numId w:val="38"/>
              </w:numPr>
              <w:ind w:left="74" w:right="442" w:firstLine="0"/>
              <w:tabs>
                <w:tab w:val="left" w:pos="190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Качества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жизни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населения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Бутурлинского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муниципального округа Нижегородской области.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numPr>
                <w:ilvl w:val="0"/>
                <w:numId w:val="38"/>
              </w:numPr>
              <w:ind w:left="74" w:right="87" w:firstLine="0"/>
              <w:tabs>
                <w:tab w:val="left" w:pos="190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Формирование культуры общественного здоровья населения Бутурлинского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муниципального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округа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Нижегородской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области.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numPr>
                <w:ilvl w:val="0"/>
                <w:numId w:val="38"/>
              </w:numPr>
              <w:ind w:left="74" w:right="87" w:firstLine="0"/>
              <w:tabs>
                <w:tab w:val="left" w:pos="190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Ответственное отношение к здоровью населения Бутурлинского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муниципального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округа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Нижегородской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области.</w:t>
            </w:r>
            <w:r>
              <w:rPr>
                <w:sz w:val="20"/>
                <w:lang w:val="ru-RU"/>
              </w:rPr>
            </w:r>
          </w:p>
        </w:tc>
        <w:tc>
          <w:tcPr>
            <w:tcW w:w="510" w:type="dxa"/>
            <w:textDirection w:val="lrTb"/>
            <w:noWrap w:val="false"/>
          </w:tcPr>
          <w:p>
            <w:pPr>
              <w:pStyle w:val="797"/>
              <w:ind w:left="158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29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19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right="212"/>
              <w:jc w:val="right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273"/>
        </w:trPr>
        <w:tc>
          <w:tcPr>
            <w:gridSpan w:val="2"/>
            <w:tcBorders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 w:right="118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Основное мероприятие 1.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 w:right="118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</w:t>
            </w:r>
            <w:r>
              <w:rPr>
                <w:sz w:val="20"/>
                <w:lang w:val="ru-RU"/>
              </w:rPr>
              <w:t xml:space="preserve">овышение уровня санитарной грамотности жителей округа в вопросах профилактики заболеваний и формирование навыков здорового образа жизни</w:t>
            </w:r>
            <w:r>
              <w:rPr>
                <w:sz w:val="20"/>
                <w:lang w:val="ru-RU"/>
              </w:rPr>
            </w:r>
          </w:p>
        </w:tc>
        <w:tc>
          <w:tcPr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  <w:lang w:val="ru-RU"/>
              </w:rPr>
              <w:t xml:space="preserve">-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3523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 </w:t>
            </w:r>
            <w:r>
              <w:rPr>
                <w:sz w:val="20"/>
                <w:lang w:val="ru-RU"/>
              </w:rPr>
              <w:t xml:space="preserve">1.1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Размещение информационных материалов, направленных на профилактику хронических неинфекционных заболеваний и формирование здорового образа жизни на сайтах администрации Бутурлинского муниципального округа и муниципальных учреждений.</w:t>
            </w:r>
            <w:r>
              <w:rPr>
                <w:sz w:val="20"/>
                <w:lang w:val="ru-RU"/>
              </w:rPr>
            </w:r>
          </w:p>
        </w:tc>
        <w:tc>
          <w:tcPr>
            <w:tcW w:w="1081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  <w:lang w:val="ru-RU"/>
              </w:rPr>
              <w:t xml:space="preserve">-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rPr>
                <w:color w:val="000000"/>
                <w:sz w:val="20"/>
                <w:lang w:val="ru-RU"/>
              </w:rPr>
              <w:outlineLvl w:val="3"/>
            </w:pPr>
            <w:r>
              <w:rPr>
                <w:color w:val="000000"/>
                <w:sz w:val="20"/>
                <w:lang w:val="ru-RU"/>
              </w:rPr>
              <w:t xml:space="preserve">-Администрация Бутурлинского муниципального округа </w:t>
            </w:r>
            <w:r>
              <w:rPr>
                <w:color w:val="000000"/>
                <w:sz w:val="20"/>
                <w:lang w:val="ru-RU"/>
              </w:rPr>
            </w:r>
          </w:p>
          <w:p>
            <w:pPr>
              <w:rPr>
                <w:color w:val="000000"/>
                <w:sz w:val="20"/>
                <w:lang w:val="ru-RU"/>
              </w:rPr>
              <w:outlineLvl w:val="3"/>
            </w:pPr>
            <w:r>
              <w:rPr>
                <w:color w:val="000000"/>
                <w:sz w:val="20"/>
                <w:lang w:val="ru-RU"/>
              </w:rPr>
              <w:t xml:space="preserve">-Управление образования и спорта администрации Бутурлинского муниципального округа </w:t>
            </w:r>
            <w:r>
              <w:rPr>
                <w:color w:val="000000"/>
                <w:sz w:val="20"/>
                <w:lang w:val="ru-RU"/>
              </w:rPr>
            </w:r>
          </w:p>
          <w:p>
            <w:pPr>
              <w:rPr>
                <w:color w:val="000000"/>
                <w:sz w:val="20"/>
                <w:lang w:val="ru-RU"/>
              </w:rPr>
              <w:outlineLvl w:val="3"/>
            </w:pPr>
            <w:r>
              <w:rPr>
                <w:color w:val="000000"/>
                <w:sz w:val="20"/>
                <w:lang w:val="ru-RU"/>
              </w:rPr>
              <w:t xml:space="preserve">-Отдел культуры и туризма организационно-правового управления администрации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 xml:space="preserve">Бутурлинского муниципального округа </w:t>
            </w:r>
            <w:r>
              <w:rPr>
                <w:color w:val="000000"/>
                <w:sz w:val="20"/>
                <w:lang w:val="ru-RU"/>
              </w:rPr>
            </w:r>
          </w:p>
          <w:p>
            <w:pPr>
              <w:rPr>
                <w:color w:val="000000"/>
                <w:sz w:val="20"/>
              </w:rPr>
              <w:outlineLvl w:val="3"/>
            </w:pPr>
            <w:r>
              <w:rPr>
                <w:color w:val="000000"/>
                <w:sz w:val="20"/>
              </w:rPr>
              <w:t xml:space="preserve">- ГБУЗ НО «Бутурлинская ЦРБ» 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158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29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right="207"/>
              <w:jc w:val="right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23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9" w:right="58" w:hanging="23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 </w:t>
            </w:r>
            <w:r>
              <w:rPr>
                <w:sz w:val="20"/>
                <w:lang w:val="ru-RU"/>
              </w:rPr>
              <w:t xml:space="preserve">1.2</w:t>
            </w:r>
            <w:r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Подготовка и размещение информационных материалов, направленных на формирование здорового образа жизни: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«Мы выбираем здоровый образ жизни»,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бесед, лекций по темам: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«Принципы здорового питания»,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«Двенадцать правил здорового питания»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 w:right="58" w:firstLine="100"/>
              <w:spacing w:line="230" w:lineRule="atLeast"/>
              <w:tabs>
                <w:tab w:val="left" w:pos="1410" w:leader="none"/>
                <w:tab w:val="left" w:pos="188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Размещение плакатов, памяток о вреде повышенного потребления сахара и соли.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9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 xml:space="preserve">ГБУЗ НО «Бутурлинска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</w:rPr>
              <w:t xml:space="preserve"> ЦРБ»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158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29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right="214"/>
              <w:jc w:val="right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5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1.3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консультаций по вопросам пропаганды </w:t>
            </w:r>
            <w:r>
              <w:rPr>
                <w:sz w:val="20"/>
                <w:lang w:val="ru-RU"/>
              </w:rPr>
              <w:t xml:space="preserve">з</w:t>
            </w:r>
            <w:r>
              <w:rPr>
                <w:sz w:val="20"/>
                <w:lang w:val="ru-RU"/>
              </w:rPr>
              <w:t xml:space="preserve">дорового образа жизни населения, сохранения и укрепления здоровья детей и подростков, изменения отношения к своему здоровью и к вредным привычкам, профилактике неинфекционных заболеваний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pacing w:val="-2"/>
                <w:sz w:val="20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4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spacing w:before="10" w:line="214" w:lineRule="exact"/>
              <w:rPr>
                <w:spacing w:val="-1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1.4</w:t>
            </w:r>
            <w:r>
              <w:rPr>
                <w:spacing w:val="-10"/>
                <w:sz w:val="20"/>
                <w:lang w:val="ru-RU"/>
              </w:rPr>
            </w:r>
          </w:p>
          <w:p>
            <w:pPr>
              <w:pStyle w:val="797"/>
              <w:ind w:left="84" w:firstLine="14"/>
              <w:spacing w:before="10" w:line="214" w:lineRule="exact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Проведение профилактическ</w:t>
            </w:r>
            <w:r>
              <w:rPr>
                <w:spacing w:val="-10"/>
                <w:sz w:val="20"/>
                <w:lang w:val="ru-RU"/>
              </w:rPr>
              <w:t xml:space="preserve">ого</w:t>
            </w:r>
            <w:r>
              <w:rPr>
                <w:spacing w:val="-10"/>
                <w:sz w:val="20"/>
                <w:lang w:val="ru-RU"/>
              </w:rPr>
              <w:t xml:space="preserve"> мероприяти</w:t>
            </w:r>
            <w:r>
              <w:rPr>
                <w:spacing w:val="-10"/>
                <w:sz w:val="20"/>
                <w:lang w:val="ru-RU"/>
              </w:rPr>
              <w:t xml:space="preserve">я</w:t>
            </w:r>
            <w:r>
              <w:rPr>
                <w:spacing w:val="-10"/>
                <w:sz w:val="20"/>
                <w:lang w:val="ru-RU"/>
              </w:rPr>
              <w:t xml:space="preserve">, приуроченн</w:t>
            </w:r>
            <w:r>
              <w:rPr>
                <w:spacing w:val="-10"/>
                <w:sz w:val="20"/>
                <w:lang w:val="ru-RU"/>
              </w:rPr>
              <w:t xml:space="preserve">ного</w:t>
            </w:r>
            <w:r>
              <w:rPr>
                <w:spacing w:val="-10"/>
                <w:sz w:val="20"/>
                <w:lang w:val="ru-RU"/>
              </w:rPr>
              <w:t xml:space="preserve"> к международным дням здоровья (Всемирный день здоровья, Всемирный день без табака и др.)</w:t>
            </w:r>
            <w:r>
              <w:rPr>
                <w:spacing w:val="-10"/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ГБУЗ НО «Бутурлинская ЦРБ»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-Управление образования и спорта администрации Бутурлинского муниципального округа 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2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z w:val="20"/>
                <w:lang w:val="ru-RU"/>
              </w:rPr>
              <w:t xml:space="preserve"> 1.5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Совместное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проведение родительских</w:t>
            </w:r>
            <w:r>
              <w:rPr>
                <w:spacing w:val="-2"/>
                <w:sz w:val="20"/>
                <w:lang w:val="ru-RU"/>
              </w:rPr>
              <w:t xml:space="preserve"> собраний в школах, по организации питания и здорового образа жизни, свободного от употребления алкоголя табака и любых наркотических средств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pacing w:val="-2"/>
                <w:sz w:val="20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pacing w:val="-4"/>
                <w:sz w:val="20"/>
                <w:lang w:val="ru-RU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-Управление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pacing w:val="-2"/>
                <w:sz w:val="20"/>
                <w:lang w:val="ru-RU"/>
              </w:rPr>
              <w:t xml:space="preserve"> 1.6 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Распространение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</w:t>
            </w:r>
            <w:r>
              <w:rPr>
                <w:sz w:val="20"/>
                <w:lang w:val="ru-RU"/>
              </w:rPr>
              <w:t xml:space="preserve">нформационн</w:t>
            </w:r>
            <w:r>
              <w:rPr>
                <w:sz w:val="20"/>
                <w:lang w:val="ru-RU"/>
              </w:rPr>
              <w:t xml:space="preserve">ых материалов (памятки, буклеты, флай</w:t>
            </w:r>
            <w:r>
              <w:rPr>
                <w:sz w:val="20"/>
                <w:lang w:val="ru-RU"/>
              </w:rPr>
              <w:t xml:space="preserve">еры для населения по вопросам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формирования мотивации к ведению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здорового образа жизни, в том числе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здоровому питанию, физической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активности, отказа от вредных привычек</w:t>
            </w:r>
            <w:r>
              <w:rPr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6-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 xml:space="preserve">ГБУЗ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«Бутурлинская</w:t>
            </w:r>
            <w:r>
              <w:rPr>
                <w:spacing w:val="-5"/>
                <w:sz w:val="20"/>
                <w:lang w:val="ru-RU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«ЦРБ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80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9"/>
              <w:spacing w:before="10" w:line="214" w:lineRule="exact"/>
              <w:tabs>
                <w:tab w:val="left" w:pos="1838" w:leader="none"/>
              </w:tabs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pacing w:val="-2"/>
                <w:sz w:val="20"/>
                <w:lang w:val="ru-RU"/>
              </w:rPr>
              <w:t xml:space="preserve"> 1.7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9"/>
              <w:spacing w:before="10" w:line="214" w:lineRule="exact"/>
              <w:tabs>
                <w:tab w:val="left" w:pos="1838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</w:t>
            </w:r>
            <w:r>
              <w:rPr>
                <w:sz w:val="20"/>
                <w:lang w:val="ru-RU"/>
              </w:rPr>
              <w:t xml:space="preserve">е</w:t>
            </w:r>
            <w:r>
              <w:rPr>
                <w:sz w:val="20"/>
                <w:lang w:val="ru-RU"/>
              </w:rPr>
              <w:t xml:space="preserve"> направленнн</w:t>
            </w:r>
            <w:r>
              <w:rPr>
                <w:sz w:val="20"/>
                <w:lang w:val="ru-RU"/>
              </w:rPr>
              <w:t xml:space="preserve">ое</w:t>
            </w:r>
            <w:r>
              <w:rPr>
                <w:sz w:val="20"/>
                <w:lang w:val="ru-RU"/>
              </w:rPr>
              <w:t xml:space="preserve"> на сохранение репродуктивного здоровья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80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2026-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 НО 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«ЦРБ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1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tabs>
                <w:tab w:val="left" w:pos="1833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z w:val="20"/>
                <w:lang w:val="ru-RU"/>
              </w:rPr>
              <w:t xml:space="preserve"> 1.8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спортивно-досугов</w:t>
            </w:r>
            <w:r>
              <w:rPr>
                <w:sz w:val="20"/>
                <w:lang w:val="ru-RU"/>
              </w:rPr>
              <w:t xml:space="preserve">ого</w:t>
            </w:r>
            <w:r>
              <w:rPr>
                <w:sz w:val="20"/>
                <w:lang w:val="ru-RU"/>
              </w:rPr>
              <w:t xml:space="preserve"> мероприяти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  <w:lang w:val="ru-RU"/>
              </w:rPr>
              <w:t xml:space="preserve"> «Движение –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это жизнь» для граждан пожилого возраста и инвалидов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5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5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ГКУ НО «Управление социальной защиты населения Бутурлинского муниципального округа»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66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Основное мероприятие 2.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Повышение доступности и качества помощи, направленной на выявление факторов риска хронических неинфекционных заболеваний, их профилактику, диагностику и лечение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2026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 НО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«Бутурлинская ЦРБ»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17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tabs>
                <w:tab w:val="left" w:pos="1733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pacing w:val="-2"/>
                <w:sz w:val="20"/>
                <w:lang w:val="ru-RU"/>
              </w:rPr>
              <w:t xml:space="preserve"> 2.1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/>
              <w:tabs>
                <w:tab w:val="left" w:pos="1733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</w:t>
            </w:r>
            <w:r>
              <w:rPr>
                <w:sz w:val="20"/>
                <w:lang w:val="ru-RU"/>
              </w:rPr>
              <w:t xml:space="preserve">ведение обследования граждан в рамках диспансеризации и профилактических медицинских осмотров, с целью раннего выявления факторов риска развития хронических неинфекционных заболеваний</w:t>
            </w:r>
            <w:r>
              <w:rPr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</w:t>
            </w:r>
            <w:r>
              <w:rPr>
                <w:spacing w:val="-4"/>
                <w:sz w:val="20"/>
                <w:lang w:val="ru-RU"/>
              </w:rPr>
              <w:t xml:space="preserve">030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 xml:space="preserve">ГБУЗ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«Бутурлинская </w:t>
            </w:r>
            <w:r>
              <w:rPr>
                <w:spacing w:val="-4"/>
                <w:sz w:val="20"/>
              </w:rPr>
              <w:t xml:space="preserve">ЦРБ»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211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5" w:right="53" w:firstLine="50"/>
              <w:spacing w:before="10"/>
              <w:tabs>
                <w:tab w:val="left" w:pos="1498" w:leader="none"/>
                <w:tab w:val="left" w:pos="1787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 </w:t>
            </w:r>
            <w:r>
              <w:rPr>
                <w:sz w:val="20"/>
                <w:lang w:val="ru-RU"/>
              </w:rPr>
              <w:t xml:space="preserve">2.2</w:t>
            </w:r>
            <w:r>
              <w:rPr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 w:right="53" w:firstLine="50"/>
              <w:spacing w:before="10"/>
              <w:tabs>
                <w:tab w:val="left" w:pos="1498" w:leader="none"/>
                <w:tab w:val="left" w:pos="1787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Пропаганда донорства крови путем размещения материалов </w:t>
            </w:r>
            <w:r>
              <w:rPr>
                <w:sz w:val="20"/>
                <w:lang w:val="ru-RU"/>
              </w:rPr>
              <w:t xml:space="preserve">о современном</w:t>
            </w:r>
            <w:r>
              <w:rPr>
                <w:sz w:val="20"/>
                <w:lang w:val="ru-RU"/>
              </w:rPr>
              <w:t xml:space="preserve"> состоянии донорства, социальной значимости донорского поступка в СМИ, распространение печатных информационных </w:t>
            </w:r>
            <w:r>
              <w:rPr>
                <w:sz w:val="20"/>
                <w:lang w:val="ru-RU"/>
              </w:rPr>
              <w:t xml:space="preserve">материалов среди</w:t>
            </w:r>
            <w:r>
              <w:rPr>
                <w:sz w:val="20"/>
                <w:lang w:val="ru-RU"/>
              </w:rPr>
              <w:t xml:space="preserve"> населения округа.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</w:t>
            </w:r>
            <w:r>
              <w:rPr>
                <w:spacing w:val="-2"/>
                <w:sz w:val="20"/>
                <w:lang w:val="ru-RU"/>
              </w:rPr>
              <w:t xml:space="preserve">26</w:t>
            </w:r>
            <w:r>
              <w:rPr>
                <w:spacing w:val="-2"/>
                <w:sz w:val="20"/>
                <w:lang w:val="ru-RU"/>
              </w:rPr>
              <w:t xml:space="preserve">-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«Бутурлинская </w:t>
            </w: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13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tabs>
                <w:tab w:val="left" w:pos="1733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pacing w:val="-2"/>
                <w:sz w:val="20"/>
                <w:lang w:val="ru-RU"/>
              </w:rPr>
              <w:t xml:space="preserve"> 2.3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 w:right="52"/>
              <w:tabs>
                <w:tab w:val="left" w:pos="1104" w:leader="none"/>
                <w:tab w:val="left" w:pos="1528" w:leader="none"/>
                <w:tab w:val="left" w:pos="1669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мероприяти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  <w:lang w:val="ru-RU"/>
              </w:rPr>
              <w:t xml:space="preserve">, направленн</w:t>
            </w:r>
            <w:r>
              <w:rPr>
                <w:sz w:val="20"/>
                <w:lang w:val="ru-RU"/>
              </w:rPr>
              <w:t xml:space="preserve">ого</w:t>
            </w:r>
            <w:r>
              <w:rPr>
                <w:sz w:val="20"/>
                <w:lang w:val="ru-RU"/>
              </w:rPr>
              <w:t xml:space="preserve"> на выявление и коррекцию факторов риска развития сердечно-сосудистых заболеваний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 xml:space="preserve">ГБУЗ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«Бутурлинская </w:t>
            </w:r>
            <w:r>
              <w:rPr>
                <w:spacing w:val="-4"/>
                <w:sz w:val="20"/>
              </w:rPr>
              <w:t xml:space="preserve">ЦРБ»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22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9"/>
              <w:spacing w:before="10" w:line="214" w:lineRule="exact"/>
              <w:tabs>
                <w:tab w:val="left" w:pos="1738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Мероприятие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2.4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/>
              <w:spacing w:line="210" w:lineRule="exact"/>
              <w:tabs>
                <w:tab w:val="left" w:pos="1898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Взаимодействие</w:t>
            </w:r>
            <w:r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pacing w:val="-2"/>
                <w:sz w:val="20"/>
                <w:lang w:val="ru-RU"/>
              </w:rPr>
              <w:t xml:space="preserve">о</w:t>
            </w:r>
            <w:r>
              <w:rPr>
                <w:spacing w:val="-2"/>
                <w:sz w:val="20"/>
                <w:lang w:val="ru-RU"/>
              </w:rPr>
              <w:t xml:space="preserve">рганами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охраны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правопорядка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целью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раннего</w:t>
            </w:r>
            <w:r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  <w:lang w:val="ru-RU"/>
              </w:rPr>
              <w:t xml:space="preserve">выявления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потребителей</w:t>
            </w:r>
            <w:r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  <w:lang w:val="ru-RU"/>
              </w:rPr>
              <w:t xml:space="preserve">ПАВ,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точек</w:t>
            </w:r>
            <w:r>
              <w:rPr>
                <w:sz w:val="20"/>
                <w:lang w:val="ru-RU"/>
              </w:rPr>
              <w:t xml:space="preserve"> р</w:t>
            </w:r>
            <w:r>
              <w:rPr>
                <w:spacing w:val="-2"/>
                <w:sz w:val="20"/>
                <w:lang w:val="ru-RU"/>
              </w:rPr>
              <w:t xml:space="preserve">аспространения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наркотиков,</w:t>
            </w:r>
            <w:r>
              <w:rPr>
                <w:sz w:val="20"/>
                <w:lang w:val="ru-RU"/>
              </w:rPr>
              <w:t xml:space="preserve"> п</w:t>
            </w:r>
            <w:r>
              <w:rPr>
                <w:spacing w:val="-2"/>
                <w:sz w:val="20"/>
                <w:lang w:val="ru-RU"/>
              </w:rPr>
              <w:t xml:space="preserve">редотвращения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вовлечения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9"/>
              <w:spacing w:line="210" w:lineRule="exact"/>
              <w:tabs>
                <w:tab w:val="left" w:pos="1289" w:leader="none"/>
                <w:tab w:val="left" w:pos="1675" w:leader="none"/>
              </w:tabs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населения,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ab/>
            </w:r>
            <w:r>
              <w:rPr>
                <w:spacing w:val="-10"/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ab/>
            </w:r>
            <w:r>
              <w:rPr>
                <w:spacing w:val="-5"/>
                <w:sz w:val="20"/>
                <w:lang w:val="ru-RU"/>
              </w:rPr>
              <w:t xml:space="preserve">том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числе несовершеннолетних </w:t>
            </w:r>
            <w:r>
              <w:rPr>
                <w:sz w:val="20"/>
                <w:lang w:val="ru-RU"/>
              </w:rPr>
              <w:t xml:space="preserve">в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наркопотребление.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9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>
              <w:rPr>
                <w:sz w:val="20"/>
                <w:szCs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9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5" w:right="452" w:firstLine="50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Основное м</w:t>
            </w:r>
            <w:r>
              <w:rPr>
                <w:sz w:val="20"/>
                <w:lang w:val="ru-RU"/>
              </w:rPr>
              <w:t xml:space="preserve">ероприятие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3. 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5" w:right="1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</w:t>
            </w:r>
            <w:r>
              <w:rPr>
                <w:sz w:val="20"/>
                <w:lang w:val="ru-RU"/>
              </w:rPr>
              <w:t xml:space="preserve">рганизации физкультурно-спортивной работы 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</w:t>
            </w:r>
            <w:r>
              <w:rPr>
                <w:spacing w:val="-2"/>
                <w:sz w:val="20"/>
                <w:lang w:val="ru-RU"/>
              </w:rPr>
              <w:t xml:space="preserve">26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50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 w:right="132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 </w:t>
            </w:r>
            <w:r>
              <w:rPr>
                <w:sz w:val="20"/>
                <w:lang w:val="ru-RU"/>
              </w:rPr>
              <w:t xml:space="preserve">3.1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 w:right="132"/>
              <w:spacing w:before="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Организация</w:t>
            </w:r>
            <w:r>
              <w:rPr>
                <w:sz w:val="20"/>
                <w:lang w:val="ru-RU"/>
              </w:rPr>
              <w:t xml:space="preserve"> и п</w:t>
            </w:r>
            <w:r>
              <w:rPr>
                <w:sz w:val="20"/>
                <w:lang w:val="ru-RU"/>
              </w:rPr>
              <w:t xml:space="preserve">роведение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мероприяти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  <w:lang w:val="ru-RU"/>
              </w:rPr>
              <w:t xml:space="preserve">,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направленн</w:t>
            </w:r>
            <w:r>
              <w:rPr>
                <w:sz w:val="20"/>
                <w:lang w:val="ru-RU"/>
              </w:rPr>
              <w:t xml:space="preserve">ого</w:t>
            </w:r>
            <w:r>
              <w:rPr>
                <w:sz w:val="20"/>
                <w:lang w:val="ru-RU"/>
              </w:rPr>
              <w:t xml:space="preserve"> на развитие массовой физической культуры и спорта, </w:t>
            </w:r>
            <w:r>
              <w:rPr>
                <w:sz w:val="20"/>
                <w:lang w:val="ru-RU"/>
              </w:rPr>
              <w:t xml:space="preserve">(спортивные с</w:t>
            </w:r>
            <w:r>
              <w:rPr>
                <w:sz w:val="20"/>
                <w:lang w:val="ru-RU"/>
              </w:rPr>
              <w:t xml:space="preserve">оревнования, турниры, эстафеты нормы ГТО)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 w:right="36"/>
              <w:spacing w:before="10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Отдел культуры и туризма организационно-правового управления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3.2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фотовыставки «Спорт-мое хобби» посвященной Международному дню спорта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Отдел культуры и туризма организационно-правового управления администрации </w:t>
            </w:r>
            <w:r>
              <w:rPr>
                <w:sz w:val="20"/>
                <w:lang w:val="ru-RU"/>
              </w:rPr>
              <w:t xml:space="preserve">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>
          <w:trHeight w:val="11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 3.3.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спортивн</w:t>
            </w:r>
            <w:r>
              <w:rPr>
                <w:sz w:val="20"/>
                <w:lang w:val="ru-RU"/>
              </w:rPr>
              <w:t xml:space="preserve">ого</w:t>
            </w:r>
            <w:r>
              <w:rPr>
                <w:sz w:val="20"/>
                <w:lang w:val="ru-RU"/>
              </w:rPr>
              <w:t xml:space="preserve"> мероприяти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«Спорт-это жизнь» посвященного Международному дню здоровья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pacing w:val="-2"/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2026-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pacing w:val="-2"/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Управление образования и спорта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</w:tr>
      <w:tr>
        <w:tblPrEx/>
        <w:trPr>
          <w:trHeight w:val="12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9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Основное м</w:t>
            </w:r>
            <w:r>
              <w:rPr>
                <w:sz w:val="20"/>
                <w:lang w:val="ru-RU"/>
              </w:rPr>
              <w:t xml:space="preserve">ероприяти</w:t>
            </w:r>
            <w:r>
              <w:rPr>
                <w:sz w:val="20"/>
                <w:lang w:val="ru-RU"/>
              </w:rPr>
              <w:t xml:space="preserve">е 4.</w:t>
            </w:r>
            <w:r>
              <w:rPr>
                <w:spacing w:val="-10"/>
                <w:sz w:val="20"/>
                <w:lang w:val="ru-RU"/>
              </w:rPr>
              <w:t xml:space="preserve">  </w:t>
            </w:r>
            <w:r>
              <w:rPr>
                <w:spacing w:val="-10"/>
                <w:sz w:val="20"/>
                <w:lang w:val="ru-RU"/>
              </w:rPr>
              <w:t xml:space="preserve">В</w:t>
            </w:r>
            <w:r>
              <w:rPr>
                <w:spacing w:val="-10"/>
                <w:sz w:val="20"/>
                <w:lang w:val="ru-RU"/>
              </w:rPr>
              <w:t xml:space="preserve">ыявление среди населения лиц, употребляющих алкоголь, наркотические, токсические средства, психотропные вещества на территории округа</w:t>
            </w:r>
            <w:r>
              <w:rPr>
                <w:spacing w:val="-10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9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Прочие</w:t>
            </w:r>
            <w:r>
              <w:rPr>
                <w:spacing w:val="-2"/>
                <w:sz w:val="20"/>
                <w:lang w:val="ru-RU"/>
              </w:rPr>
              <w:t xml:space="preserve"> расходы</w:t>
            </w:r>
            <w:r>
              <w:rPr>
                <w:sz w:val="20"/>
                <w:lang w:val="ru-RU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  <w:lang w:val="ru-RU"/>
              </w:rPr>
              <w:t xml:space="preserve">-</w:t>
            </w:r>
            <w:r>
              <w:rPr>
                <w:spacing w:val="-2"/>
                <w:sz w:val="20"/>
                <w:lang w:val="ru-RU"/>
              </w:rPr>
            </w:r>
          </w:p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2030</w:t>
            </w:r>
            <w:r>
              <w:rPr>
                <w:sz w:val="20"/>
                <w:lang w:val="ru-RU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«Бутурлинская ЦРБ»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z w:val="20"/>
                <w:lang w:val="ru-RU"/>
              </w:rPr>
            </w:r>
          </w:p>
        </w:tc>
      </w:tr>
      <w:tr>
        <w:tblPrEx/>
        <w:trPr>
          <w:trHeight w:val="210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z w:val="20"/>
                <w:lang w:val="ru-RU"/>
              </w:rPr>
              <w:t xml:space="preserve"> 4.1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</w:t>
            </w:r>
            <w:r>
              <w:rPr>
                <w:sz w:val="20"/>
                <w:lang w:val="ru-RU"/>
              </w:rPr>
              <w:t xml:space="preserve">роведение профилактическ</w:t>
            </w:r>
            <w:r>
              <w:rPr>
                <w:sz w:val="20"/>
                <w:lang w:val="ru-RU"/>
              </w:rPr>
              <w:t xml:space="preserve">ого</w:t>
            </w:r>
            <w:r>
              <w:rPr>
                <w:sz w:val="20"/>
                <w:lang w:val="ru-RU"/>
              </w:rPr>
              <w:t xml:space="preserve"> мероприяти</w:t>
            </w:r>
            <w:r>
              <w:rPr>
                <w:sz w:val="20"/>
                <w:lang w:val="ru-RU"/>
              </w:rPr>
              <w:t xml:space="preserve">я</w:t>
            </w:r>
            <w:r>
              <w:rPr>
                <w:sz w:val="20"/>
                <w:lang w:val="ru-RU"/>
              </w:rPr>
              <w:t xml:space="preserve">, связанн</w:t>
            </w:r>
            <w:r>
              <w:rPr>
                <w:sz w:val="20"/>
                <w:lang w:val="ru-RU"/>
              </w:rPr>
              <w:t xml:space="preserve">ого</w:t>
            </w:r>
            <w:bookmarkStart w:id="0" w:name="_GoBack"/>
            <w:r/>
            <w:bookmarkEnd w:id="0"/>
            <w:r>
              <w:rPr>
                <w:sz w:val="20"/>
                <w:lang w:val="ru-RU"/>
              </w:rPr>
              <w:t xml:space="preserve"> с распр</w:t>
            </w:r>
            <w:r>
              <w:rPr>
                <w:sz w:val="20"/>
                <w:lang w:val="ru-RU"/>
              </w:rPr>
              <w:t xml:space="preserve">остранением табачных, наркотических, психотропных изделий на территории округа, предупреждение и пресечение фактов курения на территориях образовательных учреждений, учреждений культуры, объектов спорта, медицинских учреждений, транспортной инфраструктуры.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«Почему курению нужно сказать: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«Нет!»,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«Правда про алкоголизм» и т.д. и размещение их в социальных сетях и на сайтах учреждения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pacing w:val="-4"/>
                <w:sz w:val="20"/>
                <w:lang w:val="ru-RU"/>
              </w:rPr>
            </w:r>
          </w:p>
          <w:p>
            <w:pPr>
              <w:rPr>
                <w:sz w:val="20"/>
                <w:szCs w:val="22"/>
                <w:lang w:val="ru-RU" w:eastAsia="en-US"/>
              </w:rPr>
            </w:pPr>
            <w:r>
              <w:rPr>
                <w:sz w:val="20"/>
                <w:szCs w:val="22"/>
                <w:lang w:val="ru-RU" w:eastAsia="en-US"/>
              </w:rPr>
              <w:t xml:space="preserve">- </w:t>
            </w:r>
            <w:r>
              <w:rPr>
                <w:sz w:val="20"/>
                <w:szCs w:val="22"/>
                <w:lang w:val="ru-RU" w:eastAsia="en-US"/>
              </w:rPr>
              <w:t xml:space="preserve">Управление образования и спорта администрации Бутурлинского</w:t>
            </w:r>
            <w:r>
              <w:rPr>
                <w:sz w:val="20"/>
                <w:szCs w:val="22"/>
                <w:lang w:val="ru-RU" w:eastAsia="en-US"/>
              </w:rPr>
              <w:t xml:space="preserve"> </w:t>
            </w:r>
            <w:r>
              <w:rPr>
                <w:sz w:val="20"/>
                <w:szCs w:val="22"/>
                <w:lang w:val="ru-RU" w:eastAsia="en-US"/>
              </w:rPr>
              <w:t xml:space="preserve">муниципального округа</w:t>
            </w:r>
            <w:r>
              <w:rPr>
                <w:sz w:val="20"/>
                <w:szCs w:val="22"/>
                <w:lang w:val="ru-RU" w:eastAsia="en-US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Отдел культуры и туризма организационно-правового управления администрации Бутурлинского муниципального округа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0,0</w:t>
            </w:r>
            <w:r>
              <w:rPr>
                <w:spacing w:val="-5"/>
                <w:sz w:val="20"/>
                <w:lang w:val="ru-RU"/>
              </w:rPr>
            </w:r>
          </w:p>
        </w:tc>
      </w:tr>
      <w:tr>
        <w:tblPrEx/>
        <w:trPr>
          <w:trHeight w:val="150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Мероприятие</w:t>
            </w:r>
            <w:r>
              <w:rPr>
                <w:sz w:val="20"/>
                <w:lang w:val="ru-RU"/>
              </w:rPr>
              <w:t xml:space="preserve"> 4.2</w:t>
            </w:r>
            <w:r>
              <w:rPr>
                <w:spacing w:val="-5"/>
                <w:sz w:val="20"/>
                <w:lang w:val="ru-RU"/>
              </w:rPr>
              <w:t xml:space="preserve">.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(профилактического и</w:t>
            </w:r>
            <w:r>
              <w:rPr>
                <w:sz w:val="20"/>
                <w:lang w:val="ru-RU"/>
              </w:rPr>
              <w:t xml:space="preserve"> д</w:t>
            </w:r>
            <w:r>
              <w:rPr>
                <w:sz w:val="20"/>
                <w:lang w:val="ru-RU"/>
              </w:rPr>
              <w:t xml:space="preserve">иагностического)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обследования на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ВИЧ-инфекцию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подлежащих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категорий, лиц из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групп рискованного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поведения 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работающего населения.</w:t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Прочие расходы</w:t>
            </w:r>
            <w:r>
              <w:rPr>
                <w:sz w:val="20"/>
              </w:rPr>
            </w:r>
          </w:p>
        </w:tc>
        <w:tc>
          <w:tcPr>
            <w:tcW w:w="818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</w:t>
            </w:r>
            <w:r>
              <w:rPr>
                <w:spacing w:val="-2"/>
                <w:sz w:val="20"/>
                <w:lang w:val="ru-RU"/>
              </w:rPr>
              <w:t xml:space="preserve">6</w:t>
            </w:r>
            <w:r>
              <w:rPr>
                <w:spacing w:val="-2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</w:t>
            </w:r>
            <w:r>
              <w:rPr>
                <w:spacing w:val="-4"/>
                <w:sz w:val="20"/>
                <w:lang w:val="ru-RU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2359" w:type="dxa"/>
            <w:textDirection w:val="lrTb"/>
            <w:noWrap w:val="false"/>
          </w:tcPr>
          <w:p>
            <w:pPr>
              <w:pStyle w:val="797"/>
              <w:ind w:left="74"/>
              <w:spacing w:before="10" w:line="214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r>
              <w:rPr>
                <w:sz w:val="20"/>
                <w:lang w:val="ru-RU"/>
              </w:rPr>
              <w:t xml:space="preserve">ГБУЗ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 xml:space="preserve">НО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«Бутурлинская</w:t>
            </w:r>
            <w:r>
              <w:rPr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pacing w:val="-4"/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 xml:space="preserve">ЦРБ»</w:t>
            </w:r>
            <w:r>
              <w:rPr>
                <w:spacing w:val="-4"/>
                <w:sz w:val="20"/>
                <w:lang w:val="ru-RU"/>
              </w:rPr>
            </w:r>
          </w:p>
          <w:p>
            <w:pPr>
              <w:pStyle w:val="797"/>
              <w:ind w:left="74"/>
              <w:spacing w:line="21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1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797"/>
              <w:ind w:left="24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797"/>
              <w:ind w:left="21" w:right="2"/>
              <w:jc w:val="center"/>
              <w:spacing w:before="10" w:line="21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</w:tbl>
    <w:p>
      <w:pPr>
        <w:pStyle w:val="790"/>
        <w:numPr>
          <w:ilvl w:val="1"/>
          <w:numId w:val="2"/>
        </w:numPr>
        <w:jc w:val="center"/>
        <w:spacing w:before="240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Численность и половозрастной состав населения</w:t>
      </w:r>
      <w:r>
        <w:rPr>
          <w:b/>
          <w:color w:val="000000"/>
          <w:sz w:val="28"/>
          <w:szCs w:val="28"/>
        </w:rPr>
      </w:r>
    </w:p>
    <w:p>
      <w:pPr>
        <w:pStyle w:val="790"/>
        <w:spacing w:before="240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Style w:val="76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418"/>
        <w:gridCol w:w="1559"/>
        <w:gridCol w:w="1417"/>
      </w:tblGrid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Возраст/</w:t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b/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пол</w:t>
            </w:r>
            <w:r>
              <w:rPr>
                <w:b/>
                <w:color w:val="000000"/>
                <w:szCs w:val="24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Мужчины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b/>
                <w:color w:val="000000"/>
                <w:szCs w:val="24"/>
              </w:rPr>
              <w:t xml:space="preserve">        </w:t>
            </w:r>
            <w:r>
              <w:rPr>
                <w:color w:val="000000"/>
                <w:szCs w:val="24"/>
              </w:rPr>
              <w:t xml:space="preserve">Женщины</w:t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W w:w="297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b/>
                <w:color w:val="000000"/>
                <w:szCs w:val="24"/>
              </w:rPr>
              <w:t xml:space="preserve">     </w:t>
            </w:r>
            <w:r>
              <w:rPr>
                <w:color w:val="000000"/>
                <w:szCs w:val="24"/>
              </w:rPr>
              <w:t xml:space="preserve">Всего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color w:val="000000"/>
                <w:szCs w:val="24"/>
              </w:rPr>
              <w:outlineLvl w:val="3"/>
            </w:pPr>
            <w:r>
              <w:rPr>
                <w:b/>
                <w:color w:val="000000"/>
                <w:szCs w:val="24"/>
              </w:rPr>
            </w:r>
            <w:r>
              <w:rPr>
                <w:b/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Количество человек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Доля от всех мужчин </w:t>
            </w:r>
            <w:r>
              <w:rPr>
                <w:color w:val="000000"/>
                <w:szCs w:val="24"/>
              </w:rPr>
            </w:r>
          </w:p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    (%)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Количество человек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Доля от всех женщин</w:t>
            </w:r>
            <w:r>
              <w:rPr>
                <w:color w:val="000000"/>
                <w:szCs w:val="24"/>
              </w:rPr>
            </w:r>
          </w:p>
          <w:p>
            <w:pPr>
              <w:widowControl w:val="off"/>
              <w:rPr>
                <w:b/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      %</w:t>
            </w:r>
            <w:r>
              <w:rPr>
                <w:b/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Количество человек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Доля от всего населения</w:t>
            </w:r>
            <w:r>
              <w:rPr>
                <w:color w:val="000000"/>
                <w:szCs w:val="24"/>
              </w:rPr>
            </w:r>
          </w:p>
          <w:p>
            <w:pPr>
              <w:widowControl w:val="off"/>
              <w:rPr>
                <w:b/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       %</w:t>
            </w:r>
            <w:r>
              <w:rPr>
                <w:b/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0-17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1320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21.9%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1185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17.1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2505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19.4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18-24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340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5.6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333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4.8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673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5.2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25-34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585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9.7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553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8.0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1138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8.8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35-44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911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15.1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982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14.2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1893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14.6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45-54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813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13.5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936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13.5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1749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13.5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55-64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936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15.6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1104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15.9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2040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15.8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65-69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480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7.9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613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8.8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1093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8.4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70+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617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10.2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1202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17.4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1819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14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итого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6002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100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6908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100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12910</w:t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  <w:t xml:space="preserve">100 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  <w:outlineLvl w:val="3"/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</w:tbl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790"/>
        <w:numPr>
          <w:ilvl w:val="1"/>
          <w:numId w:val="2"/>
        </w:numPr>
        <w:jc w:val="center"/>
        <w:spacing w:after="240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Индикаторы достижения цели и непосредственные результаты реализации муниципальной программы</w:t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240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color w:val="000000"/>
          <w:sz w:val="28"/>
          <w:szCs w:val="28"/>
        </w:rPr>
      </w:r>
    </w:p>
    <w:tbl>
      <w:tblPr>
        <w:tblW w:w="10065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850"/>
        <w:gridCol w:w="1134"/>
        <w:gridCol w:w="1134"/>
        <w:gridCol w:w="1134"/>
        <w:gridCol w:w="1134"/>
        <w:gridCol w:w="1134"/>
        <w:gridCol w:w="1134"/>
      </w:tblGrid>
      <w:tr>
        <w:tblPrEx/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 п/п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индикатора/ непосредственного результата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Ед. измерения</w:t>
            </w:r>
            <w:r>
              <w:rPr>
                <w:color w:val="000000"/>
                <w:sz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Значение индикатора/непосредственного результата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отчетный год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25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(факт)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Первый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</w:t>
            </w: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Второй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</w:t>
            </w: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Третий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год планового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периода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четвертый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2029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Пятый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год планового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периода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2030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3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Муниципальная программа </w:t>
            </w:r>
            <w:r>
              <w:rPr>
                <w:color w:val="000000"/>
                <w:szCs w:val="24"/>
              </w:rPr>
              <w:t xml:space="preserve">«Укрепление общес</w:t>
            </w:r>
            <w:r>
              <w:rPr>
                <w:color w:val="000000"/>
                <w:szCs w:val="24"/>
              </w:rPr>
              <w:t xml:space="preserve">твенного здоровья на территории Б</w:t>
            </w:r>
            <w:r>
              <w:rPr>
                <w:color w:val="000000"/>
                <w:szCs w:val="24"/>
              </w:rPr>
              <w:t xml:space="preserve">утурлинского муниципального округа Нижегородской области на 202</w:t>
            </w: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  <w:t xml:space="preserve">-2030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годы»</w:t>
            </w:r>
            <w:r>
              <w:rPr>
                <w:color w:val="000000"/>
                <w:szCs w:val="24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91"/>
              <w:jc w:val="both"/>
              <w:spacing w:before="0" w:beforeAutospacing="0" w:after="0" w:afterAutospacing="0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Ожидаемая продолжительность жизни лиц, достигших 45 лет, оба пола 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лет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Розничные продажи алкогольной продукции на душу населения  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л.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1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Смертность мужчин в возрасте 16-59 лет 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чел. на 100 тыс. населения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706,9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12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Смертность женщин в возрасте 16-54 лет 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чел. на 100 тыс. населения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204,1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Обращаемость в медицинские организации по вопросам здорового образа жизни  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%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1,7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13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Число лиц, которым рекомендованы индивидуальные планы по здоровому образу жизни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%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в 1,3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23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Непосредственные результаты</w:t>
            </w:r>
            <w:r>
              <w:rPr>
                <w:b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92"/>
              <w:jc w:val="both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Arial Unicode MS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%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Cs w:val="22"/>
              </w:rPr>
            </w:r>
          </w:p>
        </w:tc>
      </w:tr>
      <w:tr>
        <w:tblPrEx/>
        <w:trPr>
          <w:trHeight w:val="1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Смертность мужчин в возрасте 16-59 лет 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чел. на 100 тыс. населения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706,9</w:t>
            </w:r>
            <w:r>
              <w:rPr>
                <w:szCs w:val="22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Смертность женщин в возрасте 16-54 лет 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чел. на 100 тыс. населения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204,1</w:t>
            </w:r>
            <w:r>
              <w:rPr>
                <w:szCs w:val="22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Ожидаемая продолжительность жизни лиц, достигших 45 лет, оба пола 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лет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bCs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Cs w:val="22"/>
              </w:rPr>
            </w:r>
          </w:p>
        </w:tc>
      </w:tr>
    </w:tbl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2"/>
        </w:numPr>
        <w:jc w:val="center"/>
        <w:spacing w:after="240"/>
        <w:widowControl w:val="off"/>
        <w:tabs>
          <w:tab w:val="left" w:pos="5800" w:leader="none"/>
        </w:tabs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Меры правового регулирования</w:t>
      </w:r>
      <w:r>
        <w:rPr>
          <w:b/>
          <w:sz w:val="28"/>
          <w:szCs w:val="28"/>
        </w:rPr>
      </w:r>
    </w:p>
    <w:p>
      <w:pPr>
        <w:jc w:val="both"/>
        <w:widowControl w:val="off"/>
        <w:tabs>
          <w:tab w:val="left" w:pos="5800" w:leader="none"/>
        </w:tabs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         Контроль за исполнением Программы осуществляет организационно-правовое управление администрации Бутурлинского муниципального округа Нижегородской области.</w:t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0"/>
        <w:numPr>
          <w:ilvl w:val="1"/>
          <w:numId w:val="2"/>
        </w:numPr>
        <w:jc w:val="center"/>
        <w:spacing w:after="240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Обоснование объема финансовых ресурсов</w:t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240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Ресурсное обеспечение реализации Программы за счет средств бюджета Бутурлинского муниципального </w:t>
      </w:r>
      <w:r>
        <w:rPr>
          <w:color w:val="000000"/>
          <w:sz w:val="28"/>
          <w:szCs w:val="28"/>
        </w:rPr>
        <w:t xml:space="preserve">округа</w:t>
      </w:r>
      <w:r>
        <w:rPr>
          <w:color w:val="000000"/>
          <w:sz w:val="28"/>
          <w:szCs w:val="28"/>
        </w:rPr>
      </w:r>
    </w:p>
    <w:tbl>
      <w:tblPr>
        <w:tblW w:w="964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709"/>
        <w:gridCol w:w="992"/>
        <w:gridCol w:w="850"/>
        <w:gridCol w:w="993"/>
        <w:gridCol w:w="992"/>
        <w:gridCol w:w="850"/>
        <w:gridCol w:w="851"/>
      </w:tblGrid>
      <w:tr>
        <w:tblPrEx/>
        <w:trPr>
          <w:trHeight w:val="2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Статус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ind w:left="-214" w:firstLine="214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муниципальной программы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тор, соисполнители</w:t>
            </w:r>
            <w:r>
              <w:rPr>
                <w:color w:val="000000"/>
                <w:sz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(тыс. руб.), годы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</w:t>
            </w:r>
            <w:r>
              <w:rPr>
                <w:color w:val="000000"/>
                <w:sz w:val="20"/>
              </w:rPr>
              <w:t xml:space="preserve">тчетный</w:t>
            </w:r>
            <w:r>
              <w:rPr>
                <w:color w:val="000000"/>
                <w:sz w:val="20"/>
              </w:rPr>
              <w:t xml:space="preserve"> год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25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</w:t>
            </w: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</w:t>
            </w: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год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 год планового периода 2030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</w:t>
            </w:r>
            <w:r>
              <w:rPr>
                <w:color w:val="000000"/>
                <w:sz w:val="20"/>
              </w:rPr>
            </w:r>
          </w:p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муниципальной программы</w:t>
            </w:r>
            <w:r>
              <w:rPr>
                <w:color w:val="000000"/>
                <w:sz w:val="20"/>
              </w:rPr>
            </w:r>
          </w:p>
          <w:p>
            <w:pPr>
              <w:jc w:val="both"/>
              <w:widowControl w:val="off"/>
              <w:rPr>
                <w:color w:val="000000"/>
                <w:sz w:val="16"/>
                <w:szCs w:val="16"/>
              </w:rPr>
              <w:framePr w:hSpace="180" w:wrap="around" w:vAnchor="text" w:hAnchor="text" w:x="-299" w:y="1"/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«Укрепление общественного здоровья на территории Бутурлинского муниципального округа Нижегородской области на 202</w:t>
            </w: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  <w:t xml:space="preserve">-2030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годы»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57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муниципальный заказчик-координатор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76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Соисполнители</w:t>
            </w:r>
            <w:r>
              <w:rPr>
                <w:color w:val="000000"/>
                <w:sz w:val="20"/>
              </w:rPr>
            </w:r>
          </w:p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Прогнозная оценка расходов на реализацию Программы </w:t>
      </w:r>
      <w:r>
        <w:rPr>
          <w:sz w:val="28"/>
          <w:szCs w:val="28"/>
        </w:rPr>
      </w:r>
    </w:p>
    <w:p>
      <w:pPr>
        <w:jc w:val="center"/>
        <w:spacing w:after="240"/>
        <w:widowControl w:val="off"/>
        <w:rPr>
          <w:color w:val="000000"/>
          <w:sz w:val="28"/>
          <w:szCs w:val="28"/>
        </w:rPr>
        <w:outlineLvl w:val="4"/>
      </w:pPr>
      <w:r>
        <w:rPr>
          <w:sz w:val="28"/>
          <w:szCs w:val="28"/>
        </w:rPr>
        <w:t xml:space="preserve">за счет всех </w:t>
      </w:r>
      <w:r>
        <w:rPr>
          <w:color w:val="000000"/>
          <w:sz w:val="28"/>
          <w:szCs w:val="28"/>
        </w:rPr>
        <w:t xml:space="preserve">источников</w:t>
      </w:r>
      <w:r>
        <w:rPr>
          <w:color w:val="000000"/>
          <w:sz w:val="28"/>
          <w:szCs w:val="28"/>
        </w:rPr>
      </w:r>
    </w:p>
    <w:tbl>
      <w:tblPr>
        <w:tblW w:w="9782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1134"/>
        <w:gridCol w:w="992"/>
        <w:gridCol w:w="993"/>
        <w:gridCol w:w="992"/>
        <w:gridCol w:w="992"/>
        <w:gridCol w:w="851"/>
        <w:gridCol w:w="992"/>
        <w:gridCol w:w="113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0"/>
              </w:rPr>
              <w:t xml:space="preserve">Статус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подпрограммы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Источники финансирования</w:t>
            </w:r>
            <w:r>
              <w:rPr>
                <w:color w:val="000000"/>
                <w:sz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</w:t>
            </w:r>
            <w:r>
              <w:rPr>
                <w:color w:val="000000"/>
                <w:sz w:val="20"/>
              </w:rPr>
              <w:t xml:space="preserve">тчетный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год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25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</w:t>
            </w: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  <w:t xml:space="preserve">28</w:t>
            </w:r>
            <w:r>
              <w:rPr>
                <w:color w:val="000000"/>
                <w:sz w:val="20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 год планового периода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2030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hanging="217"/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45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«Укрепление общественного здоровья на территории Бутурлинского муниципального округа Нижегородской области на 202</w:t>
            </w: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  <w:t xml:space="preserve">-2030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годы»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Всего (1) + (2)+(3)+(4)+</w:t>
            </w:r>
            <w:r>
              <w:rPr>
                <w:color w:val="000000"/>
                <w:sz w:val="20"/>
              </w:rPr>
              <w:t xml:space="preserve">(5)</w:t>
            </w:r>
            <w:r>
              <w:rPr>
                <w:color w:val="000000"/>
                <w:sz w:val="20"/>
              </w:rPr>
              <w:t xml:space="preserve">+(6)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расходы местных бюджетов &lt;*&gt;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расходы областного бюджета &lt;**&gt;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расходы федерального бюджета &lt;***&gt;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trHeight w:val="14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0,0</w:t>
            </w:r>
            <w:r>
              <w:rPr>
                <w:color w:val="000000"/>
                <w:sz w:val="20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center"/>
        <w:spacing w:after="240"/>
        <w:widowControl w:val="off"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Анализ рисков реализации Программы</w:t>
      </w:r>
      <w:r>
        <w:rPr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оценки достижения поставленной цели в Программе будут учитываться финансовые, социально-экономические и организационные риски.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Финансовые риски: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нерегулярное поступление финансирования;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нецелевое расходование средств исполнителями конкретных мероприятий.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Организационные риски: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несогласованность действий администрации Бутурлинского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и организаций, вовлеченных в процесс реализации Программы, и пассивность участия;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дефицит </w:t>
      </w:r>
      <w:r>
        <w:rPr>
          <w:sz w:val="28"/>
          <w:szCs w:val="28"/>
        </w:rPr>
        <w:t xml:space="preserve">медицинских</w:t>
      </w:r>
      <w:r>
        <w:rPr>
          <w:sz w:val="28"/>
          <w:szCs w:val="28"/>
        </w:rPr>
        <w:t xml:space="preserve"> кадров.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Социально-экономические риски: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замедление экономического роста в стране в целом и Нижегородской области в частности;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рост инфляции, существенно выходящий за пределы прогнозных оценок.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мероприятий Программы в полном объеме;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целевое расходование средств исполнителями Программы;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консолидацию действий администрации Бутурлинского муниципального района и организаций, принимающих участие в процессе реализации Программы;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активное участие в реализации Программы общественных организаций;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развитие программно-целевого подхода к структурным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преобразованиям в экономике.</w:t>
      </w:r>
      <w:r>
        <w:rPr>
          <w:b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Verdana">
    <w:panose1 w:val="020B0604030504040204"/>
  </w:font>
  <w:font w:name="Mangal">
    <w:panose1 w:val="0204050305040603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6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10" w:hanging="5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15" w:hanging="5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3" w:hanging="5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11" w:hanging="5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59" w:hanging="5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06" w:hanging="5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54" w:hanging="5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02" w:hanging="5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14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7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0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1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29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96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63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  <w:tabs>
          <w:tab w:val="num" w:pos="139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  <w:color w:val="auto"/>
      </w:rPr>
    </w:lvl>
    <w:lvl w:ilvl="1">
      <w:start w:val="5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rFonts w:hint="default"/>
        <w:color w:val="auto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" w:hanging="2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4" w:hanging="21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9" w:hanging="2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34" w:hanging="2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418" w:hanging="2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03" w:hanging="2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88" w:hanging="2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172" w:hanging="2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57" w:hanging="21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  <w:tabs>
          <w:tab w:val="num" w:pos="115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180" w:hanging="1155"/>
        <w:tabs>
          <w:tab w:val="num" w:pos="118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05" w:hanging="1155"/>
        <w:tabs>
          <w:tab w:val="num" w:pos="1205" w:leader="none"/>
        </w:tabs>
      </w:pPr>
      <w:rPr>
        <w:rFonts w:hint="default"/>
      </w:rPr>
    </w:lvl>
    <w:lvl w:ilvl="3">
      <w:start w:val="16"/>
      <w:numFmt w:val="decimal"/>
      <w:isLgl w:val="false"/>
      <w:suff w:val="tab"/>
      <w:lvlText w:val="%1.%2.%3.%4."/>
      <w:lvlJc w:val="left"/>
      <w:pPr>
        <w:ind w:left="1230" w:hanging="1155"/>
        <w:tabs>
          <w:tab w:val="num" w:pos="123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55" w:hanging="1155"/>
        <w:tabs>
          <w:tab w:val="num" w:pos="125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65" w:hanging="1440"/>
        <w:tabs>
          <w:tab w:val="num" w:pos="15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50" w:hanging="1800"/>
        <w:tabs>
          <w:tab w:val="num" w:pos="19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75" w:hanging="1800"/>
        <w:tabs>
          <w:tab w:val="num" w:pos="19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0" w:hanging="2160"/>
        <w:tabs>
          <w:tab w:val="num" w:pos="236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765"/>
        <w:tabs>
          <w:tab w:val="num" w:pos="765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1207" w:hanging="765"/>
        <w:tabs>
          <w:tab w:val="num" w:pos="120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49" w:hanging="765"/>
        <w:tabs>
          <w:tab w:val="num" w:pos="164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06" w:hanging="1080"/>
        <w:tabs>
          <w:tab w:val="num" w:pos="2406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8" w:hanging="1080"/>
        <w:tabs>
          <w:tab w:val="num" w:pos="28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50" w:hanging="1440"/>
        <w:tabs>
          <w:tab w:val="num" w:pos="365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52" w:hanging="1800"/>
        <w:tabs>
          <w:tab w:val="num" w:pos="445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94" w:hanging="1800"/>
        <w:tabs>
          <w:tab w:val="num" w:pos="489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96" w:hanging="2160"/>
        <w:tabs>
          <w:tab w:val="num" w:pos="5696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37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660"/>
        <w:tabs>
          <w:tab w:val="num" w:pos="660" w:leader="none"/>
        </w:tabs>
      </w:pPr>
      <w:rPr>
        <w:rFonts w:hint="default"/>
        <w:color w:val="ff0000"/>
        <w:sz w:val="24"/>
      </w:rPr>
    </w:lvl>
    <w:lvl w:ilvl="1">
      <w:start w:val="1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color w:val="ff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color w:val="ff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color w:val="ff000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color w:val="ff0000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5" w:hanging="4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4" w:hanging="43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9" w:hanging="4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34" w:hanging="4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418" w:hanging="4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03" w:hanging="4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88" w:hanging="4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172" w:hanging="4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57" w:hanging="43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1065"/>
        <w:tabs>
          <w:tab w:val="num" w:pos="106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25" w:hanging="1065"/>
        <w:tabs>
          <w:tab w:val="num" w:pos="1325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585" w:hanging="1065"/>
        <w:tabs>
          <w:tab w:val="num" w:pos="1585" w:leader="none"/>
        </w:tabs>
      </w:pPr>
      <w:rPr>
        <w:rFonts w:hint="default"/>
      </w:rPr>
    </w:lvl>
    <w:lvl w:ilvl="3">
      <w:start w:val="9"/>
      <w:numFmt w:val="decimal"/>
      <w:isLgl w:val="false"/>
      <w:suff w:val="tab"/>
      <w:lvlText w:val="%1.%2.%3.%4."/>
      <w:lvlJc w:val="left"/>
      <w:pPr>
        <w:ind w:left="1860" w:hanging="1080"/>
        <w:tabs>
          <w:tab w:val="num" w:pos="18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21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40" w:hanging="1440"/>
        <w:tabs>
          <w:tab w:val="num" w:pos="27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60" w:hanging="1800"/>
        <w:tabs>
          <w:tab w:val="num" w:pos="33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20" w:hanging="1800"/>
        <w:tabs>
          <w:tab w:val="num" w:pos="36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40" w:hanging="2160"/>
        <w:tabs>
          <w:tab w:val="num" w:pos="4240" w:leader="none"/>
        </w:tabs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  <w:color w:val="ff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color w:val="ff000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52" w:hanging="792"/>
      </w:pPr>
      <w:rPr>
        <w:rFonts w:hint="default"/>
      </w:rPr>
    </w:lvl>
    <w:lvl w:ilvl="2">
      <w:start w:val="10"/>
      <w:numFmt w:val="decimal"/>
      <w:isLgl w:val="false"/>
      <w:suff w:val="tab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2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710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55" w:hanging="22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10" w:hanging="22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1" w:hanging="22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76" w:hanging="22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32" w:hanging="22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87" w:hanging="22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75" w:hanging="360"/>
        <w:tabs>
          <w:tab w:val="num" w:pos="975" w:leader="none"/>
        </w:tabs>
      </w:pPr>
      <w:rPr>
        <w:rFonts w:hint="default"/>
        <w:color w:val="00000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5" w:hanging="2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4" w:hanging="21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49" w:hanging="2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34" w:hanging="2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418" w:hanging="2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003" w:hanging="2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588" w:hanging="2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172" w:hanging="2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57" w:hanging="21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8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465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74" w:hanging="16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  <w:tabs>
          <w:tab w:val="num" w:pos="1185" w:leader="none"/>
        </w:tabs>
      </w:pPr>
      <w:rPr>
        <w:rFonts w:hint="default"/>
        <w:color w:val="auto"/>
      </w:rPr>
    </w:lvl>
    <w:lvl w:ilvl="1">
      <w:start w:val="4"/>
      <w:numFmt w:val="decimal"/>
      <w:isLgl w:val="false"/>
      <w:suff w:val="tab"/>
      <w:lvlText w:val="%1.%2."/>
      <w:lvlJc w:val="left"/>
      <w:pPr>
        <w:ind w:left="2355" w:hanging="1185"/>
        <w:tabs>
          <w:tab w:val="num" w:pos="2355" w:leader="none"/>
        </w:tabs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25" w:hanging="1185"/>
        <w:tabs>
          <w:tab w:val="num" w:pos="3525" w:leader="none"/>
        </w:tabs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695" w:hanging="1185"/>
        <w:tabs>
          <w:tab w:val="num" w:pos="4695" w:leader="none"/>
        </w:tabs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5" w:hanging="1185"/>
        <w:tabs>
          <w:tab w:val="num" w:pos="5865" w:leader="none"/>
        </w:tabs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rFonts w:hint="default"/>
        <w:color w:val="auto"/>
      </w:r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61" w:hanging="280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75" w:hanging="49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853" w:hanging="4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646" w:hanging="4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439" w:hanging="4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232" w:hanging="4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25" w:hanging="4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818" w:hanging="4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611" w:hanging="49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5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44" w:hanging="16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09" w:hanging="1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73" w:hanging="1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338" w:hanging="1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902" w:hanging="1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467" w:hanging="1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031" w:hanging="1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596" w:hanging="167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14" w:hanging="36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28"/>
  </w:num>
  <w:num w:numId="7">
    <w:abstractNumId w:val="2"/>
  </w:num>
  <w:num w:numId="8">
    <w:abstractNumId w:val="24"/>
  </w:num>
  <w:num w:numId="9">
    <w:abstractNumId w:val="5"/>
  </w:num>
  <w:num w:numId="10">
    <w:abstractNumId w:val="29"/>
  </w:num>
  <w:num w:numId="11">
    <w:abstractNumId w:val="25"/>
  </w:num>
  <w:num w:numId="12">
    <w:abstractNumId w:val="31"/>
  </w:num>
  <w:num w:numId="13">
    <w:abstractNumId w:val="18"/>
  </w:num>
  <w:num w:numId="14">
    <w:abstractNumId w:val="6"/>
  </w:num>
  <w:num w:numId="15">
    <w:abstractNumId w:val="30"/>
  </w:num>
  <w:num w:numId="16">
    <w:abstractNumId w:val="35"/>
  </w:num>
  <w:num w:numId="17">
    <w:abstractNumId w:val="33"/>
  </w:num>
  <w:num w:numId="18">
    <w:abstractNumId w:val="39"/>
  </w:num>
  <w:num w:numId="19">
    <w:abstractNumId w:val="45"/>
  </w:num>
  <w:num w:numId="20">
    <w:abstractNumId w:val="10"/>
  </w:num>
  <w:num w:numId="21">
    <w:abstractNumId w:val="1"/>
  </w:num>
  <w:num w:numId="22">
    <w:abstractNumId w:val="17"/>
  </w:num>
  <w:num w:numId="23">
    <w:abstractNumId w:val="12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38"/>
  </w:num>
  <w:num w:numId="29">
    <w:abstractNumId w:val="40"/>
  </w:num>
  <w:num w:numId="30">
    <w:abstractNumId w:val="41"/>
  </w:num>
  <w:num w:numId="31">
    <w:abstractNumId w:val="11"/>
  </w:num>
  <w:num w:numId="32">
    <w:abstractNumId w:val="34"/>
  </w:num>
  <w:num w:numId="33">
    <w:abstractNumId w:val="0"/>
  </w:num>
  <w:num w:numId="34">
    <w:abstractNumId w:val="23"/>
  </w:num>
  <w:num w:numId="35">
    <w:abstractNumId w:val="13"/>
  </w:num>
  <w:num w:numId="36">
    <w:abstractNumId w:val="7"/>
  </w:num>
  <w:num w:numId="37">
    <w:abstractNumId w:val="32"/>
  </w:num>
  <w:num w:numId="38">
    <w:abstractNumId w:val="43"/>
  </w:num>
  <w:num w:numId="39">
    <w:abstractNumId w:val="4"/>
  </w:num>
  <w:num w:numId="40">
    <w:abstractNumId w:val="44"/>
  </w:num>
  <w:num w:numId="41">
    <w:abstractNumId w:val="37"/>
  </w:num>
  <w:num w:numId="42">
    <w:abstractNumId w:val="8"/>
  </w:num>
  <w:num w:numId="43">
    <w:abstractNumId w:val="14"/>
  </w:num>
  <w:num w:numId="44">
    <w:abstractNumId w:val="36"/>
  </w:num>
  <w:num w:numId="45">
    <w:abstractNumId w:val="22"/>
  </w:num>
  <w:num w:numId="46">
    <w:abstractNumId w:val="4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0"/>
    <w:link w:val="74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0"/>
    <w:link w:val="749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47"/>
    <w:next w:val="74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5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47"/>
    <w:next w:val="74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5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47"/>
    <w:next w:val="74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5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47"/>
    <w:next w:val="74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5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47"/>
    <w:next w:val="74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5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47"/>
    <w:next w:val="74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5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47"/>
    <w:next w:val="74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5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50"/>
    <w:link w:val="769"/>
    <w:uiPriority w:val="10"/>
    <w:rPr>
      <w:sz w:val="48"/>
      <w:szCs w:val="48"/>
    </w:rPr>
  </w:style>
  <w:style w:type="paragraph" w:styleId="37">
    <w:name w:val="Subtitle"/>
    <w:basedOn w:val="747"/>
    <w:next w:val="74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50"/>
    <w:link w:val="37"/>
    <w:uiPriority w:val="11"/>
    <w:rPr>
      <w:sz w:val="24"/>
      <w:szCs w:val="24"/>
    </w:rPr>
  </w:style>
  <w:style w:type="paragraph" w:styleId="39">
    <w:name w:val="Quote"/>
    <w:basedOn w:val="747"/>
    <w:next w:val="74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47"/>
    <w:next w:val="74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50"/>
    <w:link w:val="755"/>
    <w:uiPriority w:val="99"/>
  </w:style>
  <w:style w:type="character" w:styleId="46">
    <w:name w:val="Footer Char"/>
    <w:basedOn w:val="750"/>
    <w:link w:val="794"/>
    <w:uiPriority w:val="99"/>
  </w:style>
  <w:style w:type="paragraph" w:styleId="47">
    <w:name w:val="Caption"/>
    <w:basedOn w:val="747"/>
    <w:next w:val="74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5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4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50"/>
    <w:uiPriority w:val="99"/>
    <w:unhideWhenUsed/>
    <w:rPr>
      <w:vertAlign w:val="superscript"/>
    </w:rPr>
  </w:style>
  <w:style w:type="paragraph" w:styleId="179">
    <w:name w:val="endnote text"/>
    <w:basedOn w:val="74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50"/>
    <w:uiPriority w:val="99"/>
    <w:semiHidden/>
    <w:unhideWhenUsed/>
    <w:rPr>
      <w:vertAlign w:val="superscript"/>
    </w:rPr>
  </w:style>
  <w:style w:type="paragraph" w:styleId="182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48">
    <w:name w:val="Heading 1"/>
    <w:basedOn w:val="747"/>
    <w:next w:val="747"/>
    <w:link w:val="753"/>
    <w:uiPriority w:val="1"/>
    <w:qFormat/>
    <w:pPr>
      <w:keepNext/>
      <w:outlineLvl w:val="0"/>
    </w:pPr>
  </w:style>
  <w:style w:type="paragraph" w:styleId="749">
    <w:name w:val="Heading 2"/>
    <w:basedOn w:val="747"/>
    <w:next w:val="747"/>
    <w:link w:val="754"/>
    <w:qFormat/>
    <w:pPr>
      <w:jc w:val="center"/>
      <w:keepNext/>
      <w:outlineLvl w:val="1"/>
    </w:pPr>
    <w:rPr>
      <w:sz w:val="28"/>
      <w:lang w:eastAsia="ar-SA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Заголовок 1 Знак"/>
    <w:basedOn w:val="750"/>
    <w:link w:val="748"/>
    <w:rPr>
      <w:rFonts w:ascii="Times New Roman" w:hAnsi="Times New Roman" w:eastAsia="Times New Roman" w:cs="Times New Roman"/>
      <w:sz w:val="24"/>
      <w:szCs w:val="20"/>
    </w:rPr>
  </w:style>
  <w:style w:type="character" w:styleId="754" w:customStyle="1">
    <w:name w:val="Заголовок 2 Знак"/>
    <w:basedOn w:val="750"/>
    <w:link w:val="74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755">
    <w:name w:val="Header"/>
    <w:basedOn w:val="747"/>
    <w:link w:val="756"/>
    <w:pPr>
      <w:tabs>
        <w:tab w:val="center" w:pos="4536" w:leader="none"/>
        <w:tab w:val="right" w:pos="9072" w:leader="none"/>
      </w:tabs>
    </w:pPr>
  </w:style>
  <w:style w:type="character" w:styleId="756" w:customStyle="1">
    <w:name w:val="Верхний колонтитул Знак"/>
    <w:basedOn w:val="750"/>
    <w:link w:val="755"/>
    <w:rPr>
      <w:rFonts w:ascii="Times New Roman" w:hAnsi="Times New Roman" w:eastAsia="Times New Roman" w:cs="Times New Roman"/>
      <w:sz w:val="24"/>
      <w:szCs w:val="20"/>
    </w:rPr>
  </w:style>
  <w:style w:type="paragraph" w:styleId="757">
    <w:name w:val="Balloon Text"/>
    <w:basedOn w:val="747"/>
    <w:link w:val="758"/>
    <w:rPr>
      <w:rFonts w:ascii="Tahoma" w:hAnsi="Tahoma"/>
      <w:sz w:val="16"/>
      <w:szCs w:val="16"/>
    </w:rPr>
  </w:style>
  <w:style w:type="character" w:styleId="758" w:customStyle="1">
    <w:name w:val="Текст выноски Знак"/>
    <w:basedOn w:val="750"/>
    <w:link w:val="757"/>
    <w:rPr>
      <w:rFonts w:ascii="Tahoma" w:hAnsi="Tahoma" w:eastAsia="Times New Roman" w:cs="Times New Roman"/>
      <w:sz w:val="16"/>
      <w:szCs w:val="16"/>
    </w:rPr>
  </w:style>
  <w:style w:type="paragraph" w:styleId="759">
    <w:name w:val="Body Text Indent"/>
    <w:basedOn w:val="747"/>
    <w:link w:val="760"/>
    <w:pPr>
      <w:ind w:left="705"/>
      <w:jc w:val="both"/>
    </w:pPr>
    <w:rPr>
      <w:sz w:val="28"/>
      <w:lang w:eastAsia="ar-SA"/>
    </w:rPr>
  </w:style>
  <w:style w:type="character" w:styleId="760" w:customStyle="1">
    <w:name w:val="Основной текст с отступом Знак"/>
    <w:basedOn w:val="750"/>
    <w:link w:val="75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761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762">
    <w:name w:val="Strong"/>
    <w:uiPriority w:val="22"/>
    <w:qFormat/>
    <w:rPr>
      <w:b/>
      <w:bCs/>
    </w:rPr>
  </w:style>
  <w:style w:type="paragraph" w:styleId="763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764">
    <w:name w:val="Table Grid"/>
    <w:basedOn w:val="7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5">
    <w:name w:val="Body Text Indent 3"/>
    <w:basedOn w:val="747"/>
    <w:link w:val="766"/>
    <w:pPr>
      <w:ind w:firstLine="708"/>
      <w:jc w:val="both"/>
    </w:pPr>
    <w:rPr>
      <w:sz w:val="28"/>
    </w:rPr>
  </w:style>
  <w:style w:type="character" w:styleId="766" w:customStyle="1">
    <w:name w:val="Основной текст с отступом 3 Знак"/>
    <w:basedOn w:val="750"/>
    <w:link w:val="765"/>
    <w:rPr>
      <w:rFonts w:ascii="Times New Roman" w:hAnsi="Times New Roman" w:eastAsia="Times New Roman" w:cs="Times New Roman"/>
      <w:sz w:val="28"/>
      <w:szCs w:val="20"/>
    </w:rPr>
  </w:style>
  <w:style w:type="paragraph" w:styleId="767" w:customStyle="1">
    <w:name w:val="ConsPlusNormal"/>
    <w:link w:val="768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768" w:customStyle="1">
    <w:name w:val="ConsPlusNormal Знак"/>
    <w:link w:val="767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769">
    <w:name w:val="Title"/>
    <w:basedOn w:val="747"/>
    <w:link w:val="770"/>
    <w:qFormat/>
    <w:pPr>
      <w:jc w:val="center"/>
    </w:pPr>
    <w:rPr>
      <w:b/>
      <w:sz w:val="32"/>
    </w:rPr>
  </w:style>
  <w:style w:type="character" w:styleId="770" w:customStyle="1">
    <w:name w:val="Название Знак"/>
    <w:basedOn w:val="750"/>
    <w:link w:val="769"/>
    <w:rPr>
      <w:rFonts w:ascii="Times New Roman" w:hAnsi="Times New Roman" w:eastAsia="Times New Roman" w:cs="Times New Roman"/>
      <w:b/>
      <w:sz w:val="32"/>
      <w:szCs w:val="20"/>
    </w:rPr>
  </w:style>
  <w:style w:type="paragraph" w:styleId="771">
    <w:name w:val="Body Text"/>
    <w:basedOn w:val="747"/>
    <w:link w:val="772"/>
    <w:uiPriority w:val="1"/>
    <w:qFormat/>
    <w:pPr>
      <w:spacing w:after="120"/>
    </w:pPr>
  </w:style>
  <w:style w:type="character" w:styleId="772" w:customStyle="1">
    <w:name w:val="Основной текст Знак"/>
    <w:basedOn w:val="750"/>
    <w:link w:val="771"/>
    <w:rPr>
      <w:rFonts w:ascii="Times New Roman" w:hAnsi="Times New Roman" w:eastAsia="Times New Roman" w:cs="Times New Roman"/>
      <w:sz w:val="24"/>
      <w:szCs w:val="20"/>
    </w:rPr>
  </w:style>
  <w:style w:type="paragraph" w:styleId="773" w:customStyle="1">
    <w:name w:val="tex1st"/>
    <w:basedOn w:val="747"/>
    <w:pPr>
      <w:spacing w:before="100" w:beforeAutospacing="1" w:after="100" w:afterAutospacing="1"/>
    </w:pPr>
    <w:rPr>
      <w:szCs w:val="24"/>
    </w:rPr>
  </w:style>
  <w:style w:type="paragraph" w:styleId="774" w:customStyle="1">
    <w:name w:val="tex2st"/>
    <w:basedOn w:val="747"/>
    <w:pPr>
      <w:spacing w:before="100" w:beforeAutospacing="1" w:after="100" w:afterAutospacing="1"/>
    </w:pPr>
    <w:rPr>
      <w:szCs w:val="24"/>
    </w:rPr>
  </w:style>
  <w:style w:type="paragraph" w:styleId="77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76">
    <w:name w:val="Normal (Web)"/>
    <w:basedOn w:val="747"/>
    <w:pPr>
      <w:spacing w:before="100" w:beforeAutospacing="1" w:after="100" w:afterAutospacing="1"/>
    </w:pPr>
    <w:rPr>
      <w:szCs w:val="24"/>
    </w:rPr>
  </w:style>
  <w:style w:type="character" w:styleId="777" w:customStyle="1">
    <w:name w:val="apple-converted-space"/>
    <w:basedOn w:val="750"/>
  </w:style>
  <w:style w:type="character" w:styleId="778">
    <w:name w:val="page number"/>
    <w:basedOn w:val="750"/>
  </w:style>
  <w:style w:type="character" w:styleId="779">
    <w:name w:val="Hyperlink"/>
    <w:rPr>
      <w:color w:val="0000ff"/>
      <w:u w:val="single"/>
    </w:rPr>
  </w:style>
  <w:style w:type="paragraph" w:styleId="780" w:customStyle="1">
    <w:name w:val="Основной текст 21"/>
    <w:basedOn w:val="747"/>
    <w:pPr>
      <w:jc w:val="center"/>
    </w:pPr>
    <w:rPr>
      <w:b/>
      <w:sz w:val="28"/>
      <w:lang w:eastAsia="ar-SA"/>
    </w:rPr>
  </w:style>
  <w:style w:type="paragraph" w:styleId="781" w:customStyle="1">
    <w:name w:val="Содержимое таблицы"/>
    <w:basedOn w:val="747"/>
    <w:pPr>
      <w:suppressLineNumbers/>
    </w:pPr>
    <w:rPr>
      <w:sz w:val="20"/>
      <w:lang w:eastAsia="ar-SA"/>
    </w:rPr>
  </w:style>
  <w:style w:type="paragraph" w:styleId="782" w:customStyle="1">
    <w:name w:val="Заголовок таблицы"/>
    <w:basedOn w:val="781"/>
    <w:pPr>
      <w:jc w:val="center"/>
    </w:pPr>
    <w:rPr>
      <w:b/>
      <w:bCs/>
    </w:rPr>
  </w:style>
  <w:style w:type="paragraph" w:styleId="783" w:customStyle="1">
    <w:name w:val="Знак Знак Знак Знак Знак Знак Знак Знак Знак Знак Знак Знак Знак Знак Знак Знак Знак Знак Знак1 Знак Знак Знак1 Знак"/>
    <w:basedOn w:val="74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784">
    <w:name w:val="annotation reference"/>
    <w:rPr>
      <w:sz w:val="16"/>
      <w:szCs w:val="16"/>
    </w:rPr>
  </w:style>
  <w:style w:type="paragraph" w:styleId="785">
    <w:name w:val="annotation text"/>
    <w:basedOn w:val="747"/>
    <w:link w:val="786"/>
    <w:rPr>
      <w:sz w:val="20"/>
    </w:rPr>
  </w:style>
  <w:style w:type="character" w:styleId="786" w:customStyle="1">
    <w:name w:val="Текст примечания Знак"/>
    <w:basedOn w:val="750"/>
    <w:link w:val="78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7">
    <w:name w:val="annotation subject"/>
    <w:basedOn w:val="785"/>
    <w:next w:val="785"/>
    <w:link w:val="788"/>
    <w:rPr>
      <w:b/>
      <w:bCs/>
    </w:rPr>
  </w:style>
  <w:style w:type="character" w:styleId="788" w:customStyle="1">
    <w:name w:val="Тема примечания Знак"/>
    <w:basedOn w:val="786"/>
    <w:link w:val="787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89">
    <w:name w:val="Emphasis"/>
    <w:qFormat/>
    <w:rPr>
      <w:i/>
      <w:iCs/>
    </w:rPr>
  </w:style>
  <w:style w:type="paragraph" w:styleId="790">
    <w:name w:val="List Paragraph"/>
    <w:basedOn w:val="747"/>
    <w:uiPriority w:val="1"/>
    <w:qFormat/>
    <w:pPr>
      <w:contextualSpacing/>
      <w:ind w:left="720"/>
      <w:widowControl w:val="off"/>
    </w:pPr>
    <w:rPr>
      <w:rFonts w:cs="Mangal"/>
      <w:sz w:val="20"/>
      <w:szCs w:val="18"/>
      <w:lang w:eastAsia="zh-CN" w:bidi="hi-IN"/>
    </w:rPr>
  </w:style>
  <w:style w:type="paragraph" w:styleId="791" w:customStyle="1">
    <w:name w:val="dt-p"/>
    <w:basedOn w:val="747"/>
    <w:pPr>
      <w:spacing w:before="100" w:beforeAutospacing="1" w:after="100" w:afterAutospacing="1"/>
    </w:pPr>
    <w:rPr>
      <w:szCs w:val="24"/>
    </w:rPr>
  </w:style>
  <w:style w:type="paragraph" w:styleId="792" w:customStyle="1">
    <w:name w:val="No Spacing1"/>
    <w:link w:val="793"/>
    <w:pPr>
      <w:spacing w:after="0" w:line="240" w:lineRule="auto"/>
    </w:pPr>
    <w:rPr>
      <w:rFonts w:ascii="Calibri" w:hAnsi="Calibri" w:eastAsia="Times New Roman" w:cs="Times New Roman"/>
    </w:rPr>
  </w:style>
  <w:style w:type="character" w:styleId="793" w:customStyle="1">
    <w:name w:val="No Spacing Char"/>
    <w:link w:val="792"/>
    <w:rPr>
      <w:rFonts w:ascii="Calibri" w:hAnsi="Calibri" w:eastAsia="Times New Roman" w:cs="Times New Roman"/>
    </w:rPr>
  </w:style>
  <w:style w:type="paragraph" w:styleId="794">
    <w:name w:val="Footer"/>
    <w:basedOn w:val="747"/>
    <w:link w:val="795"/>
    <w:pPr>
      <w:tabs>
        <w:tab w:val="center" w:pos="4677" w:leader="none"/>
        <w:tab w:val="right" w:pos="9355" w:leader="none"/>
      </w:tabs>
    </w:pPr>
  </w:style>
  <w:style w:type="character" w:styleId="795" w:customStyle="1">
    <w:name w:val="Нижний колонтитул Знак"/>
    <w:basedOn w:val="750"/>
    <w:link w:val="794"/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796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7" w:customStyle="1">
    <w:name w:val="Table Paragraph"/>
    <w:basedOn w:val="747"/>
    <w:uiPriority w:val="1"/>
    <w:qFormat/>
    <w:pPr>
      <w:widowControl w:val="off"/>
    </w:pPr>
    <w:rPr>
      <w:sz w:val="22"/>
      <w:szCs w:val="22"/>
      <w:lang w:eastAsia="en-US"/>
    </w:rPr>
  </w:style>
  <w:style w:type="table" w:styleId="798" w:customStyle="1">
    <w:name w:val="Сетка таблицы1"/>
    <w:basedOn w:val="751"/>
    <w:next w:val="7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EAE4-F5B0-4E3E-AC37-621D1ED2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ekonomika-3</cp:lastModifiedBy>
  <cp:revision>91</cp:revision>
  <dcterms:created xsi:type="dcterms:W3CDTF">2022-11-10T12:31:00Z</dcterms:created>
  <dcterms:modified xsi:type="dcterms:W3CDTF">2026-04-23T05:55:46Z</dcterms:modified>
</cp:coreProperties>
</file>