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96"/>
        <w:gridCol w:w="4432"/>
        <w:gridCol w:w="2073"/>
        <w:gridCol w:w="2073"/>
        <w:gridCol w:w="1240"/>
      </w:tblGrid>
      <w:tr w:rsidR="001E669F" w:rsidRPr="00CC776B" w:rsidTr="00CC776B">
        <w:trPr>
          <w:trHeight w:val="1162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E669F" w:rsidRPr="0048059E" w:rsidRDefault="001E669F" w:rsidP="001E669F">
            <w:pPr>
              <w:jc w:val="center"/>
            </w:pPr>
            <w:r w:rsidRPr="0048059E">
              <w:t>Информация о расходах Бутурлинского муниципального округа в рамках реализации муниципальных программ  январь - апрель 2023г</w:t>
            </w:r>
          </w:p>
        </w:tc>
      </w:tr>
      <w:tr w:rsidR="001E669F" w:rsidRPr="00CC776B" w:rsidTr="00C2616D">
        <w:trPr>
          <w:trHeight w:val="375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669F" w:rsidRPr="0048059E" w:rsidRDefault="001E669F" w:rsidP="008D68B0"/>
        </w:tc>
        <w:tc>
          <w:tcPr>
            <w:tcW w:w="4146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:rsidR="001E669F" w:rsidRPr="0048059E" w:rsidRDefault="001E669F" w:rsidP="008D68B0"/>
        </w:tc>
        <w:tc>
          <w:tcPr>
            <w:tcW w:w="1240" w:type="dxa"/>
            <w:tcBorders>
              <w:top w:val="nil"/>
              <w:left w:val="nil"/>
              <w:right w:val="nil"/>
            </w:tcBorders>
            <w:noWrap/>
            <w:hideMark/>
          </w:tcPr>
          <w:p w:rsidR="001E669F" w:rsidRPr="0048059E" w:rsidRDefault="001E669F" w:rsidP="008D68B0">
            <w:r w:rsidRPr="0048059E">
              <w:t>Р</w:t>
            </w:r>
            <w:r w:rsidRPr="0048059E">
              <w:t>уб</w:t>
            </w:r>
            <w:r>
              <w:t>.</w:t>
            </w:r>
          </w:p>
        </w:tc>
      </w:tr>
      <w:tr w:rsidR="001E669F" w:rsidRPr="00CC776B" w:rsidTr="001E669F">
        <w:trPr>
          <w:trHeight w:val="1008"/>
        </w:trPr>
        <w:tc>
          <w:tcPr>
            <w:tcW w:w="496" w:type="dxa"/>
            <w:noWrap/>
            <w:hideMark/>
          </w:tcPr>
          <w:p w:rsidR="001E669F" w:rsidRPr="0048059E" w:rsidRDefault="001E669F" w:rsidP="008D68B0"/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Наименование муниципальной программы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План на 2023г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Кассовый расход на 01.05.2023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% исполнения</w:t>
            </w:r>
          </w:p>
        </w:tc>
      </w:tr>
      <w:tr w:rsidR="001E669F" w:rsidRPr="00CC776B" w:rsidTr="001E669F">
        <w:trPr>
          <w:trHeight w:val="691"/>
        </w:trPr>
        <w:tc>
          <w:tcPr>
            <w:tcW w:w="496" w:type="dxa"/>
            <w:noWrap/>
            <w:hideMark/>
          </w:tcPr>
          <w:p w:rsidR="001E669F" w:rsidRPr="0048059E" w:rsidRDefault="001E669F" w:rsidP="008D68B0"/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Итого расход по муниципальным программам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979 716 347,56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348 795 526,05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35,60%</w:t>
            </w:r>
          </w:p>
        </w:tc>
      </w:tr>
      <w:tr w:rsidR="001E669F" w:rsidRPr="00CC776B" w:rsidTr="001E669F">
        <w:trPr>
          <w:trHeight w:val="1259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1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615 000,00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87 533,29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14,23%</w:t>
            </w:r>
          </w:p>
        </w:tc>
      </w:tr>
      <w:tr w:rsidR="001E669F" w:rsidRPr="00CC776B" w:rsidTr="001E669F">
        <w:trPr>
          <w:trHeight w:val="1249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2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80 642 516,08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28 843 975,18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35,77%</w:t>
            </w:r>
          </w:p>
        </w:tc>
      </w:tr>
      <w:tr w:rsidR="001E669F" w:rsidRPr="00CC776B" w:rsidTr="00CC776B">
        <w:trPr>
          <w:trHeight w:val="1493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3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«Развитие въездного и внутреннего туризма в Бутурлинском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35 274 381,18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10 298 824,00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29,20%</w:t>
            </w:r>
          </w:p>
        </w:tc>
      </w:tr>
      <w:tr w:rsidR="001E669F" w:rsidRPr="00CC776B" w:rsidTr="001E669F">
        <w:trPr>
          <w:trHeight w:val="1730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4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11 080 596,10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2 098 309,11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18,94%</w:t>
            </w:r>
          </w:p>
        </w:tc>
      </w:tr>
      <w:tr w:rsidR="001E669F" w:rsidRPr="00CC776B" w:rsidTr="00CC776B">
        <w:trPr>
          <w:trHeight w:val="1248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5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proofErr w:type="gramStart"/>
            <w:r w:rsidRPr="0048059E">
              <w:t xml:space="preserve">Муниципальная программа «Развитие малого и среднего </w:t>
            </w:r>
            <w:proofErr w:type="spellStart"/>
            <w:r w:rsidRPr="0048059E">
              <w:t>предпринимательствав</w:t>
            </w:r>
            <w:proofErr w:type="spellEnd"/>
            <w:r w:rsidRPr="0048059E">
              <w:t xml:space="preserve"> Бутурлинском муниципальном округе Нижегородской области»</w:t>
            </w:r>
            <w:proofErr w:type="gramEnd"/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1 485 000,00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152 000,00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10,24%</w:t>
            </w:r>
          </w:p>
        </w:tc>
      </w:tr>
      <w:tr w:rsidR="001E669F" w:rsidRPr="00CC776B" w:rsidTr="00CC776B">
        <w:trPr>
          <w:trHeight w:val="1653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6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37 195 804,99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6 816 537,35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18,33%</w:t>
            </w:r>
          </w:p>
        </w:tc>
      </w:tr>
      <w:tr w:rsidR="001E669F" w:rsidRPr="00CC776B" w:rsidTr="00CC776B">
        <w:trPr>
          <w:trHeight w:val="1429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7</w:t>
            </w:r>
          </w:p>
        </w:tc>
        <w:tc>
          <w:tcPr>
            <w:tcW w:w="4432" w:type="dxa"/>
            <w:shd w:val="clear" w:color="auto" w:fill="auto"/>
            <w:hideMark/>
          </w:tcPr>
          <w:p w:rsidR="001E669F" w:rsidRPr="0048059E" w:rsidRDefault="001E669F" w:rsidP="008D68B0">
            <w:r w:rsidRPr="0048059E"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404 897 961,94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155 526 053,08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38,41%</w:t>
            </w:r>
          </w:p>
        </w:tc>
      </w:tr>
      <w:tr w:rsidR="001E669F" w:rsidRPr="00CC776B" w:rsidTr="00CC776B">
        <w:trPr>
          <w:trHeight w:val="1260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lastRenderedPageBreak/>
              <w:t>8</w:t>
            </w:r>
          </w:p>
        </w:tc>
        <w:tc>
          <w:tcPr>
            <w:tcW w:w="4432" w:type="dxa"/>
            <w:shd w:val="clear" w:color="auto" w:fill="auto"/>
            <w:hideMark/>
          </w:tcPr>
          <w:p w:rsidR="001E669F" w:rsidRPr="0048059E" w:rsidRDefault="001E669F" w:rsidP="008D68B0">
            <w:r w:rsidRPr="0048059E"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6 208 340,00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1 763 564,00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28,41%</w:t>
            </w:r>
          </w:p>
        </w:tc>
      </w:tr>
      <w:tr w:rsidR="001E669F" w:rsidRPr="00CC776B" w:rsidTr="00CC776B">
        <w:trPr>
          <w:trHeight w:val="1617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9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40 535 969,37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15 589 231,75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38,46%</w:t>
            </w:r>
          </w:p>
        </w:tc>
      </w:tr>
      <w:tr w:rsidR="001E669F" w:rsidRPr="00CC776B" w:rsidTr="001E669F">
        <w:trPr>
          <w:trHeight w:val="1132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10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«Развитие социальной и инженерной инфраструктуры Бутурлинского района»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55 081 058,77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64 687,19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0,12%</w:t>
            </w:r>
          </w:p>
        </w:tc>
      </w:tr>
      <w:tr w:rsidR="001E669F" w:rsidRPr="00CC776B" w:rsidTr="00CC776B">
        <w:trPr>
          <w:trHeight w:val="1265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11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"Развитие агропромышленного комплекса Бутурлинского муниципального района Нижегородской области"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130 555 399,81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67 859 979,92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51,98%</w:t>
            </w:r>
          </w:p>
        </w:tc>
      </w:tr>
      <w:tr w:rsidR="001E669F" w:rsidRPr="00CC776B" w:rsidTr="00CC776B">
        <w:trPr>
          <w:trHeight w:val="1669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12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«Обеспечение безопасности жизнедеятельности населения в Бутурлинском муниципального округе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35 897 253,40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11 356 466,93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31,64%</w:t>
            </w:r>
          </w:p>
        </w:tc>
      </w:tr>
      <w:tr w:rsidR="001E669F" w:rsidRPr="00CC776B" w:rsidTr="001E669F">
        <w:trPr>
          <w:trHeight w:val="1226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13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«Управление муниципальными финансами Бутурлинского муниципального района»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18 083 632,26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4 281 794,78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23,68%</w:t>
            </w:r>
          </w:p>
        </w:tc>
      </w:tr>
      <w:tr w:rsidR="001E669F" w:rsidRPr="00CC776B" w:rsidTr="00CC776B">
        <w:trPr>
          <w:trHeight w:val="1228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14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12 806 755,68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3 234 986,88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25,26%</w:t>
            </w:r>
          </w:p>
        </w:tc>
      </w:tr>
      <w:tr w:rsidR="001E669F" w:rsidRPr="00CC776B" w:rsidTr="00CC776B">
        <w:trPr>
          <w:trHeight w:val="1575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15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29 624 948,73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11 781 264,34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39,77%</w:t>
            </w:r>
          </w:p>
        </w:tc>
      </w:tr>
      <w:tr w:rsidR="001E669F" w:rsidRPr="00CC776B" w:rsidTr="00CC776B">
        <w:trPr>
          <w:trHeight w:val="1274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16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«Охрана окружающей среды в Бутурлинском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13 193 874,00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517 020,00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3,92%</w:t>
            </w:r>
          </w:p>
        </w:tc>
      </w:tr>
      <w:tr w:rsidR="001E669F" w:rsidRPr="00CC776B" w:rsidTr="00CC776B">
        <w:trPr>
          <w:trHeight w:val="1254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lastRenderedPageBreak/>
              <w:t>17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 xml:space="preserve">Муниципальная программа «Улучшение условий и охрана труда в Бутурлинском муниципальном округе Нижегородской области» 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100 000,00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0,00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/>
        </w:tc>
      </w:tr>
      <w:tr w:rsidR="001E669F" w:rsidRPr="00CC776B" w:rsidTr="00CC776B">
        <w:trPr>
          <w:trHeight w:val="315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20</w:t>
            </w:r>
          </w:p>
        </w:tc>
        <w:tc>
          <w:tcPr>
            <w:tcW w:w="4432" w:type="dxa"/>
            <w:hideMark/>
          </w:tcPr>
          <w:p w:rsidR="001E669F" w:rsidRPr="0048059E" w:rsidRDefault="001E669F" w:rsidP="008D68B0">
            <w:r w:rsidRPr="0048059E"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3 066 284,00</w:t>
            </w:r>
          </w:p>
        </w:tc>
        <w:tc>
          <w:tcPr>
            <w:tcW w:w="2073" w:type="dxa"/>
            <w:hideMark/>
          </w:tcPr>
          <w:p w:rsidR="001E669F" w:rsidRPr="0048059E" w:rsidRDefault="001E669F" w:rsidP="008D68B0">
            <w:r w:rsidRPr="0048059E">
              <w:t>1 145 087,33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37,34%</w:t>
            </w:r>
          </w:p>
        </w:tc>
      </w:tr>
      <w:tr w:rsidR="001E669F" w:rsidRPr="00CC776B" w:rsidTr="00CC776B">
        <w:trPr>
          <w:trHeight w:val="315"/>
        </w:trPr>
        <w:tc>
          <w:tcPr>
            <w:tcW w:w="496" w:type="dxa"/>
            <w:noWrap/>
            <w:hideMark/>
          </w:tcPr>
          <w:p w:rsidR="001E669F" w:rsidRPr="0048059E" w:rsidRDefault="001E669F" w:rsidP="008D68B0">
            <w:r w:rsidRPr="0048059E">
              <w:t>22</w:t>
            </w:r>
          </w:p>
        </w:tc>
        <w:tc>
          <w:tcPr>
            <w:tcW w:w="4432" w:type="dxa"/>
            <w:noWrap/>
            <w:hideMark/>
          </w:tcPr>
          <w:p w:rsidR="001E669F" w:rsidRPr="0048059E" w:rsidRDefault="001E669F" w:rsidP="008D68B0">
            <w:r w:rsidRPr="0048059E"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2073" w:type="dxa"/>
            <w:noWrap/>
            <w:hideMark/>
          </w:tcPr>
          <w:p w:rsidR="001E669F" w:rsidRPr="0048059E" w:rsidRDefault="001E669F" w:rsidP="008D68B0">
            <w:r w:rsidRPr="0048059E">
              <w:t>63 371 571,25</w:t>
            </w:r>
          </w:p>
        </w:tc>
        <w:tc>
          <w:tcPr>
            <w:tcW w:w="2073" w:type="dxa"/>
            <w:noWrap/>
            <w:hideMark/>
          </w:tcPr>
          <w:p w:rsidR="001E669F" w:rsidRPr="0048059E" w:rsidRDefault="001E669F" w:rsidP="008D68B0">
            <w:r w:rsidRPr="0048059E">
              <w:t>27 378 210,92</w:t>
            </w:r>
          </w:p>
        </w:tc>
        <w:tc>
          <w:tcPr>
            <w:tcW w:w="1240" w:type="dxa"/>
            <w:noWrap/>
            <w:hideMark/>
          </w:tcPr>
          <w:p w:rsidR="001E669F" w:rsidRPr="0048059E" w:rsidRDefault="001E669F" w:rsidP="008D68B0">
            <w:r w:rsidRPr="0048059E">
              <w:t>43,20%</w:t>
            </w:r>
          </w:p>
        </w:tc>
      </w:tr>
      <w:tr w:rsidR="001E669F" w:rsidRPr="00CC776B" w:rsidTr="00B255B1">
        <w:trPr>
          <w:trHeight w:val="315"/>
        </w:trPr>
        <w:tc>
          <w:tcPr>
            <w:tcW w:w="496" w:type="dxa"/>
            <w:noWrap/>
          </w:tcPr>
          <w:p w:rsidR="001E669F" w:rsidRPr="0048059E" w:rsidRDefault="001E669F" w:rsidP="008D68B0"/>
        </w:tc>
        <w:tc>
          <w:tcPr>
            <w:tcW w:w="4432" w:type="dxa"/>
            <w:noWrap/>
            <w:vAlign w:val="center"/>
          </w:tcPr>
          <w:p w:rsidR="001E669F" w:rsidRDefault="001E669F">
            <w:pPr>
              <w:rPr>
                <w:sz w:val="24"/>
                <w:szCs w:val="24"/>
              </w:rPr>
            </w:pPr>
            <w:r>
              <w:t>Непрограммные расходы</w:t>
            </w:r>
          </w:p>
        </w:tc>
        <w:tc>
          <w:tcPr>
            <w:tcW w:w="2073" w:type="dxa"/>
            <w:noWrap/>
            <w:vAlign w:val="center"/>
          </w:tcPr>
          <w:p w:rsidR="001E669F" w:rsidRDefault="001E669F">
            <w:pPr>
              <w:jc w:val="center"/>
              <w:rPr>
                <w:sz w:val="24"/>
                <w:szCs w:val="24"/>
              </w:rPr>
            </w:pPr>
            <w:r>
              <w:t>4 683 518,75</w:t>
            </w:r>
          </w:p>
        </w:tc>
        <w:tc>
          <w:tcPr>
            <w:tcW w:w="2073" w:type="dxa"/>
            <w:noWrap/>
            <w:vAlign w:val="center"/>
          </w:tcPr>
          <w:p w:rsidR="001E669F" w:rsidRDefault="001E669F">
            <w:pPr>
              <w:jc w:val="center"/>
              <w:rPr>
                <w:sz w:val="24"/>
                <w:szCs w:val="24"/>
              </w:rPr>
            </w:pPr>
            <w:r>
              <w:t>1 123 839,13</w:t>
            </w:r>
          </w:p>
        </w:tc>
        <w:tc>
          <w:tcPr>
            <w:tcW w:w="1240" w:type="dxa"/>
            <w:noWrap/>
            <w:vAlign w:val="center"/>
          </w:tcPr>
          <w:p w:rsidR="001E669F" w:rsidRDefault="001E669F">
            <w:pPr>
              <w:jc w:val="center"/>
              <w:rPr>
                <w:sz w:val="24"/>
                <w:szCs w:val="24"/>
              </w:rPr>
            </w:pPr>
            <w:r>
              <w:t>24,00%</w:t>
            </w:r>
          </w:p>
        </w:tc>
      </w:tr>
      <w:tr w:rsidR="001E669F" w:rsidRPr="00CC776B" w:rsidTr="00B255B1">
        <w:trPr>
          <w:trHeight w:val="315"/>
        </w:trPr>
        <w:tc>
          <w:tcPr>
            <w:tcW w:w="496" w:type="dxa"/>
            <w:noWrap/>
          </w:tcPr>
          <w:p w:rsidR="001E669F" w:rsidRPr="0048059E" w:rsidRDefault="001E669F" w:rsidP="008D68B0"/>
        </w:tc>
        <w:tc>
          <w:tcPr>
            <w:tcW w:w="4432" w:type="dxa"/>
            <w:noWrap/>
            <w:vAlign w:val="center"/>
          </w:tcPr>
          <w:p w:rsidR="001E669F" w:rsidRDefault="001E6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073" w:type="dxa"/>
            <w:noWrap/>
            <w:vAlign w:val="center"/>
          </w:tcPr>
          <w:p w:rsidR="001E669F" w:rsidRDefault="001E66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984 399 866,31</w:t>
            </w:r>
          </w:p>
        </w:tc>
        <w:tc>
          <w:tcPr>
            <w:tcW w:w="2073" w:type="dxa"/>
            <w:noWrap/>
            <w:vAlign w:val="center"/>
          </w:tcPr>
          <w:p w:rsidR="001E669F" w:rsidRDefault="001E66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349 919 365,18</w:t>
            </w:r>
          </w:p>
        </w:tc>
        <w:tc>
          <w:tcPr>
            <w:tcW w:w="1240" w:type="dxa"/>
            <w:noWrap/>
            <w:vAlign w:val="center"/>
          </w:tcPr>
          <w:p w:rsidR="001E669F" w:rsidRDefault="001E669F">
            <w:pPr>
              <w:jc w:val="center"/>
              <w:rPr>
                <w:sz w:val="24"/>
                <w:szCs w:val="24"/>
              </w:rPr>
            </w:pPr>
            <w:r>
              <w:t>35,55%</w:t>
            </w:r>
          </w:p>
        </w:tc>
      </w:tr>
    </w:tbl>
    <w:p w:rsidR="00DF0A8B" w:rsidRDefault="00DF0A8B">
      <w:bookmarkStart w:id="0" w:name="_GoBack"/>
      <w:bookmarkEnd w:id="0"/>
    </w:p>
    <w:sectPr w:rsidR="00DF0A8B" w:rsidSect="00CC776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6B"/>
    <w:rsid w:val="001E669F"/>
    <w:rsid w:val="006A5ED0"/>
    <w:rsid w:val="00CC776B"/>
    <w:rsid w:val="00D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Kotkova N.V..</cp:lastModifiedBy>
  <cp:revision>2</cp:revision>
  <dcterms:created xsi:type="dcterms:W3CDTF">2023-05-04T12:53:00Z</dcterms:created>
  <dcterms:modified xsi:type="dcterms:W3CDTF">2023-05-04T12:53:00Z</dcterms:modified>
</cp:coreProperties>
</file>