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</w:t>
      </w:r>
      <w:r>
        <w:rPr>
          <w:b/>
          <w:sz w:val="28"/>
          <w:szCs w:val="28"/>
        </w:rPr>
        <w:t xml:space="preserve">УТУРЛИНСКОГО </w:t>
      </w:r>
      <w:r>
        <w:rPr>
          <w:b/>
          <w:sz w:val="28"/>
          <w:szCs w:val="28"/>
        </w:rPr>
        <w:t xml:space="preserve">МУНИЦИПАЛЬНОГ</w:t>
      </w:r>
      <w:r>
        <w:rPr>
          <w:b/>
          <w:sz w:val="28"/>
          <w:szCs w:val="28"/>
        </w:rPr>
        <w:t xml:space="preserve">О ОКРУГА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</w:t>
      </w:r>
      <w:r>
        <w:rPr>
          <w:b/>
          <w:sz w:val="28"/>
          <w:szCs w:val="28"/>
        </w:rPr>
        <w:t xml:space="preserve"> ОБЛАСТИ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</w:t>
      </w:r>
      <w:r>
        <w:rPr>
          <w:b/>
          <w:sz w:val="32"/>
        </w:rPr>
      </w:r>
    </w:p>
    <w:p>
      <w:pPr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12.02.2026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№198</w:t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Об утверждении </w:t>
      </w:r>
      <w:r>
        <w:rPr>
          <w:rFonts w:eastAsia="Calibri"/>
          <w:b/>
          <w:spacing w:val="2"/>
          <w:sz w:val="28"/>
          <w:szCs w:val="28"/>
        </w:rPr>
        <w:t xml:space="preserve">П</w:t>
      </w:r>
      <w:r>
        <w:rPr>
          <w:rFonts w:eastAsia="Calibri"/>
          <w:b/>
          <w:spacing w:val="2"/>
          <w:sz w:val="28"/>
          <w:szCs w:val="28"/>
        </w:rPr>
        <w:t xml:space="preserve">орядка</w:t>
      </w:r>
      <w:r>
        <w:rPr>
          <w:rFonts w:eastAsia="Calibri"/>
          <w:b/>
          <w:spacing w:val="2"/>
          <w:sz w:val="28"/>
          <w:szCs w:val="28"/>
        </w:rPr>
        <w:t xml:space="preserve"> (план</w:t>
      </w:r>
      <w:r>
        <w:rPr>
          <w:rFonts w:eastAsia="Calibri"/>
          <w:b/>
          <w:spacing w:val="2"/>
          <w:sz w:val="28"/>
          <w:szCs w:val="28"/>
        </w:rPr>
        <w:t xml:space="preserve">а</w:t>
      </w:r>
      <w:r>
        <w:rPr>
          <w:rFonts w:eastAsia="Calibri"/>
          <w:b/>
          <w:spacing w:val="2"/>
          <w:sz w:val="28"/>
          <w:szCs w:val="28"/>
        </w:rPr>
        <w:t xml:space="preserve">) действий </w:t>
      </w:r>
      <w:r>
        <w:rPr>
          <w:rFonts w:eastAsia="Calibri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  <w:outlineLvl w:val="1"/>
      </w:pPr>
      <w:r>
        <w:rPr>
          <w:rFonts w:eastAsia="Calibri"/>
          <w:b/>
          <w:spacing w:val="2"/>
          <w:sz w:val="28"/>
          <w:szCs w:val="28"/>
        </w:rPr>
        <w:t xml:space="preserve">по ликвидации последствий аварийных ситуаций в сфере теплоснабжения в Бутурлинском муниципальном округе Нижегородской области </w:t>
      </w:r>
      <w:r>
        <w:rPr>
          <w:rFonts w:eastAsia="Calibri"/>
          <w:b/>
          <w:spacing w:val="2"/>
          <w:sz w:val="28"/>
          <w:szCs w:val="28"/>
        </w:rPr>
      </w:r>
    </w:p>
    <w:p>
      <w:pPr>
        <w:ind w:right="-83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</w:r>
      <w:r>
        <w:rPr>
          <w:b/>
          <w:spacing w:val="2"/>
          <w:sz w:val="28"/>
          <w:szCs w:val="28"/>
        </w:rPr>
      </w:r>
    </w:p>
    <w:p>
      <w:pPr>
        <w:pStyle w:val="696"/>
        <w:ind w:left="0" w:firstLine="708"/>
        <w:spacing w:line="360" w:lineRule="auto"/>
      </w:pPr>
      <w:r>
        <w:rPr>
          <w:color w:val="000000"/>
          <w:szCs w:val="28"/>
        </w:rPr>
        <w:t xml:space="preserve">В соответствии с Федеральным законом от 27 июля 2010 года № 190-ФЗ «О теплоснабжении», </w:t>
      </w:r>
      <w:r>
        <w:rPr>
          <w:bCs/>
          <w:color w:val="000000"/>
          <w:szCs w:val="28"/>
          <w:lang w:eastAsia="zh-CN"/>
        </w:rPr>
        <w:t xml:space="preserve">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</w:t>
      </w:r>
      <w:r>
        <w:rPr>
          <w:bCs/>
          <w:color w:val="000000"/>
          <w:szCs w:val="28"/>
          <w:lang w:eastAsia="zh-CN"/>
        </w:rPr>
        <w:t xml:space="preserve">письмом Министерства энергетики и жилищно-коммунального хозяйства Нижегородской области от 09.02.2026 №Сл-329-111255/26 «О рассмотрении проекта порядка (плана) действий», </w:t>
      </w:r>
      <w:r>
        <w:rPr>
          <w:bCs/>
          <w:color w:val="000000"/>
          <w:szCs w:val="28"/>
          <w:lang w:eastAsia="zh-CN"/>
        </w:rPr>
        <w:t xml:space="preserve">в целях обеспечения устойчивого функционирования объектов жилищно-коммунального хозяйства и объектов теплоэнергетики округа, своевременной и качественной подготовки их к работе в осенне-зимний период, а также предупреждения чрезвычайных ситуаций</w:t>
      </w:r>
      <w:r>
        <w:rPr>
          <w:szCs w:val="28"/>
        </w:rPr>
        <w:t xml:space="preserve">, администрация Бутурлинского муниципального округа Нижегородской области </w:t>
      </w:r>
      <w:r>
        <w:rPr>
          <w:szCs w:val="28"/>
        </w:rPr>
        <w:t xml:space="preserve"> </w:t>
      </w:r>
      <w:r>
        <w:rPr>
          <w:b/>
          <w:szCs w:val="28"/>
        </w:rPr>
        <w:t xml:space="preserve">п о с</w:t>
      </w:r>
      <w:r>
        <w:rPr>
          <w:b/>
        </w:rPr>
        <w:t xml:space="preserve"> т а н о в л я е т</w:t>
      </w:r>
      <w:r>
        <w:t xml:space="preserve">:</w:t>
      </w:r>
      <w:r/>
    </w:p>
    <w:p>
      <w:pPr>
        <w:ind w:firstLine="708"/>
        <w:jc w:val="both"/>
        <w:spacing w:line="360" w:lineRule="auto"/>
        <w:shd w:val="clear" w:color="auto" w:fill="ffffff"/>
        <w:rPr>
          <w:color w:val="000000"/>
          <w:sz w:val="28"/>
          <w:szCs w:val="28"/>
          <w:lang w:bidi="ru-RU"/>
        </w:rPr>
        <w:outlineLvl w:val="1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>
        <w:rPr>
          <w:rFonts w:eastAsia="Calibri"/>
          <w:spacing w:val="2"/>
          <w:sz w:val="28"/>
          <w:szCs w:val="28"/>
        </w:rPr>
        <w:t xml:space="preserve">Порядок (план) действий по ликвидации последствий аварийных </w:t>
      </w:r>
      <w:r>
        <w:rPr>
          <w:rFonts w:eastAsia="Calibri"/>
          <w:spacing w:val="2"/>
          <w:sz w:val="28"/>
          <w:szCs w:val="28"/>
        </w:rPr>
        <w:t xml:space="preserve">ситуаций в сфере теплоснабжения в Бутурлинском муниципальном округе Нижегородской области </w:t>
      </w:r>
      <w:r>
        <w:rPr>
          <w:color w:val="000000"/>
          <w:sz w:val="28"/>
          <w:szCs w:val="28"/>
          <w:lang w:bidi="ru-RU"/>
        </w:rPr>
        <w:t xml:space="preserve">согласно </w:t>
      </w:r>
      <w:r>
        <w:rPr>
          <w:color w:val="000000"/>
          <w:sz w:val="28"/>
          <w:szCs w:val="28"/>
          <w:lang w:bidi="ru-RU"/>
        </w:rPr>
        <w:t xml:space="preserve">приложению</w:t>
      </w:r>
      <w:r>
        <w:rPr>
          <w:color w:val="000000"/>
          <w:sz w:val="28"/>
          <w:szCs w:val="28"/>
          <w:lang w:bidi="ru-RU"/>
        </w:rPr>
        <w:t xml:space="preserve"> к настоящему постановлению.</w:t>
      </w:r>
      <w:r>
        <w:rPr>
          <w:color w:val="000000"/>
          <w:sz w:val="28"/>
          <w:szCs w:val="28"/>
          <w:lang w:bidi="ru-RU"/>
        </w:rPr>
      </w:r>
    </w:p>
    <w:p>
      <w:pPr>
        <w:pStyle w:val="701"/>
        <w:ind w:firstLine="708"/>
        <w:jc w:val="bot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Бутурлинского </w:t>
      </w:r>
      <w:r>
        <w:rPr>
          <w:sz w:val="28"/>
          <w:szCs w:val="28"/>
        </w:rPr>
        <w:t xml:space="preserve">муниципального округа Нижегородской области от 31.03.2025 № 447 «Об утверждении Порядка (плана) действий по ликвидации последствий аварийных ситуаций в сфере теплоснабжения в Бутурлинском муниципальном округе Нижегородской области» считать утратившим силу.</w:t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Данное постановление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Организационно-правово</w:t>
      </w:r>
      <w:r>
        <w:rPr>
          <w:sz w:val="28"/>
          <w:szCs w:val="28"/>
        </w:rPr>
        <w:t xml:space="preserve">му управлению администрации Бутурлинского 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</w:t>
      </w:r>
      <w:r>
        <w:rPr>
          <w:sz w:val="28"/>
          <w:szCs w:val="28"/>
        </w:rPr>
        <w:t xml:space="preserve">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  <w:r>
        <w:rPr>
          <w:sz w:val="28"/>
          <w:szCs w:val="28"/>
        </w:rPr>
      </w:r>
    </w:p>
    <w:p>
      <w:pPr>
        <w:pStyle w:val="701"/>
        <w:ind w:firstLine="708"/>
        <w:jc w:val="both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начальника управления ЖКХ и строительства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Бутурлинского муниципального округа Нижегородской области В.В. Савинова.</w:t>
      </w:r>
      <w:r>
        <w:rPr>
          <w:sz w:val="28"/>
          <w:szCs w:val="28"/>
        </w:rPr>
      </w:r>
    </w:p>
    <w:p>
      <w:pPr>
        <w:pStyle w:val="70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М.Ф. Петрова</w:t>
      </w: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701"/>
        <w:jc w:val="right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</w:p>
    <w:p>
      <w:pPr>
        <w:pStyle w:val="701"/>
        <w:jc w:val="right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</w:p>
    <w:p>
      <w:pPr>
        <w:pStyle w:val="701"/>
        <w:jc w:val="right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Бутурлинского муниципального округа </w:t>
      </w:r>
      <w:r>
        <w:rPr>
          <w:sz w:val="28"/>
          <w:szCs w:val="28"/>
        </w:rPr>
      </w:r>
    </w:p>
    <w:p>
      <w:pPr>
        <w:pStyle w:val="701"/>
        <w:jc w:val="right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  <w:r>
        <w:rPr>
          <w:sz w:val="28"/>
          <w:szCs w:val="28"/>
        </w:rPr>
      </w:r>
    </w:p>
    <w:p>
      <w:pPr>
        <w:pStyle w:val="701"/>
        <w:jc w:val="right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12.02.2026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198</w:t>
      </w:r>
      <w:r>
        <w:rPr>
          <w:sz w:val="28"/>
          <w:szCs w:val="28"/>
        </w:rPr>
      </w:r>
    </w:p>
    <w:p>
      <w:pPr>
        <w:jc w:val="right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  <w:outlineLvl w:val="1"/>
      </w:pPr>
      <w:r>
        <w:rPr>
          <w:rFonts w:eastAsia="Calibri"/>
          <w:b/>
          <w:spacing w:val="2"/>
          <w:sz w:val="28"/>
          <w:szCs w:val="28"/>
        </w:rPr>
      </w:r>
      <w:r>
        <w:rPr>
          <w:rFonts w:eastAsia="Calibri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  <w:outlineLvl w:val="1"/>
      </w:pPr>
      <w:r>
        <w:rPr>
          <w:rFonts w:eastAsia="Calibri"/>
          <w:b/>
          <w:spacing w:val="2"/>
          <w:sz w:val="28"/>
          <w:szCs w:val="28"/>
        </w:rPr>
        <w:t xml:space="preserve">Порядок (план) действий </w:t>
      </w:r>
      <w:r>
        <w:rPr>
          <w:rFonts w:eastAsia="Calibri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  <w:outlineLvl w:val="1"/>
      </w:pPr>
      <w:r>
        <w:rPr>
          <w:rFonts w:eastAsia="Calibri"/>
          <w:b/>
          <w:spacing w:val="2"/>
          <w:sz w:val="28"/>
          <w:szCs w:val="28"/>
        </w:rPr>
        <w:t xml:space="preserve">по ликвидации последствий аварийных ситуаций в сфере теплоснабжения в Бутурлинском муниципальном округе Нижегородской области </w:t>
      </w:r>
      <w:r>
        <w:rPr>
          <w:rFonts w:eastAsia="Calibri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  <w:outlineLvl w:val="1"/>
      </w:pPr>
      <w:r>
        <w:rPr>
          <w:rFonts w:eastAsia="Calibri"/>
          <w:spacing w:val="2"/>
          <w:sz w:val="28"/>
          <w:szCs w:val="28"/>
        </w:rPr>
      </w:r>
      <w:r>
        <w:rPr>
          <w:rFonts w:eastAsia="Calibri"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  <w:outlineLvl w:val="1"/>
      </w:pPr>
      <w:r>
        <w:rPr>
          <w:rFonts w:eastAsia="Calibri"/>
          <w:b/>
          <w:spacing w:val="2"/>
          <w:sz w:val="28"/>
          <w:szCs w:val="28"/>
        </w:rPr>
        <w:t xml:space="preserve">1. Общие положения</w:t>
      </w:r>
      <w:r>
        <w:rPr>
          <w:rFonts w:eastAsia="Calibri"/>
          <w:b/>
          <w:spacing w:val="2"/>
          <w:sz w:val="28"/>
          <w:szCs w:val="28"/>
        </w:rPr>
      </w:r>
    </w:p>
    <w:p>
      <w:pPr>
        <w:pStyle w:val="700"/>
        <w:ind w:left="0"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1.1. Настоящий Порядок (план) действий по ликвидации последствий аварийных ситуаций в сфере теплоснабжения в </w:t>
      </w:r>
      <w:r>
        <w:rPr>
          <w:rFonts w:eastAsia="Calibri"/>
          <w:spacing w:val="2"/>
          <w:sz w:val="28"/>
          <w:szCs w:val="28"/>
        </w:rPr>
        <w:t xml:space="preserve">Бутурлинском муниципальном</w:t>
      </w:r>
      <w:r>
        <w:rPr>
          <w:rFonts w:eastAsia="Calibri"/>
          <w:spacing w:val="2"/>
          <w:sz w:val="28"/>
          <w:szCs w:val="28"/>
        </w:rPr>
        <w:t xml:space="preserve"> округе Нижегородской области (далее – Порядок) 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>
        <w:rPr>
          <w:color w:val="111111"/>
          <w:sz w:val="28"/>
          <w:szCs w:val="28"/>
          <w:lang w:eastAsia="zh-CN"/>
        </w:rPr>
        <w:t xml:space="preserve">Жилищного кодекса Российской Федерации;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>
        <w:rPr>
          <w:color w:val="111111"/>
          <w:sz w:val="28"/>
          <w:szCs w:val="28"/>
          <w:lang w:eastAsia="zh-CN"/>
        </w:rPr>
        <w:t xml:space="preserve">Федерального закона от 21 декабря 1994 г. № 68-ФЗ «О защите населения и территорий от чрезвычайных ситуаций природного и техногенного характера»;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>
        <w:rPr>
          <w:color w:val="111111"/>
          <w:sz w:val="28"/>
          <w:szCs w:val="28"/>
          <w:lang w:eastAsia="zh-CN"/>
        </w:rPr>
        <w:t xml:space="preserve">Федерального закона от 6 октября 2003 г. № 131-ФЗ «Об общих принципах организации местного самоуправления в Российской Федерации»;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>
        <w:rPr>
          <w:color w:val="111111"/>
          <w:sz w:val="28"/>
          <w:szCs w:val="28"/>
          <w:lang w:eastAsia="zh-CN"/>
        </w:rPr>
        <w:t xml:space="preserve">Федерального закона от 27 июля 2010 г. № 190-ФЗ «О теплоснабжении»;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>
        <w:rPr>
          <w:color w:val="111111"/>
          <w:sz w:val="28"/>
          <w:szCs w:val="28"/>
          <w:lang w:eastAsia="zh-CN"/>
        </w:rPr>
        <w:t xml:space="preserve">Федерального закона от 7 декабря 2011 г. № 416-ФЗ «О водоснабжении и водоотведении»;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color w:val="111111"/>
          <w:sz w:val="28"/>
          <w:szCs w:val="28"/>
          <w:lang w:eastAsia="zh-CN"/>
        </w:rPr>
      </w:pPr>
      <w:r>
        <w:rPr>
          <w:color w:val="111111"/>
          <w:sz w:val="28"/>
          <w:szCs w:val="28"/>
          <w:lang w:eastAsia="zh-CN"/>
        </w:rPr>
        <w:t xml:space="preserve">Федерального закона от 20 марта 2025 г. № 33-ФЗ «Об общих принципах организации местного самоуправления в единой системе публичной власти»;</w:t>
      </w:r>
      <w:r>
        <w:rPr>
          <w:color w:val="111111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>
        <w:rPr>
          <w:color w:val="111111"/>
          <w:sz w:val="28"/>
          <w:szCs w:val="28"/>
          <w:lang w:eastAsia="zh-CN"/>
        </w:rPr>
        <w:t xml:space="preserve">постановления Правительства Российской Федерации от 24 марта 1997 г. </w:t>
      </w:r>
      <w:r>
        <w:rPr>
          <w:color w:val="111111"/>
          <w:sz w:val="28"/>
          <w:szCs w:val="28"/>
          <w:lang w:eastAsia="zh-CN"/>
        </w:rPr>
        <w:br/>
        <w:t xml:space="preserve">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>
        <w:rPr>
          <w:color w:val="111111"/>
          <w:sz w:val="28"/>
          <w:szCs w:val="28"/>
          <w:lang w:eastAsia="zh-CN"/>
        </w:rPr>
        <w:t xml:space="preserve">постановления Правительства Российской Федерации от 30 декабря 2003 г. № 794 «О единой государственной системе предупреждения и ликвидации чрезвычайных ситуаций»;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постановления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домов»;</w:t>
      </w:r>
      <w:r>
        <w:rPr>
          <w:color w:val="000000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постановления Правительства Российской Федерации от 2 июня 2022 г. </w:t>
      </w:r>
      <w:r>
        <w:rPr>
          <w:color w:val="000000"/>
          <w:sz w:val="28"/>
          <w:szCs w:val="28"/>
          <w:lang w:eastAsia="zh-CN"/>
        </w:rPr>
        <w:br/>
        <w:t xml:space="preserve">№ 1014 «О расследовании причин аварийных ситуаций в сфере теплоснабжения»;</w:t>
      </w:r>
      <w:r>
        <w:rPr>
          <w:color w:val="000000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>
        <w:rPr>
          <w:color w:val="111111"/>
          <w:sz w:val="28"/>
          <w:szCs w:val="28"/>
          <w:lang w:eastAsia="zh-CN"/>
        </w:rPr>
        <w:t xml:space="preserve">приказа Министерства энергетики Российской Федерации от 13 сентября 2018 г. № 757 «Об утверждении Правил переключений в электроустановках»;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color w:val="111111"/>
          <w:sz w:val="28"/>
          <w:szCs w:val="28"/>
          <w:lang w:eastAsia="zh-CN"/>
        </w:rPr>
      </w:pPr>
      <w:r>
        <w:rPr>
          <w:color w:val="111111"/>
          <w:sz w:val="28"/>
          <w:szCs w:val="28"/>
          <w:lang w:eastAsia="zh-CN"/>
        </w:rPr>
        <w:t xml:space="preserve">приказа Министерства энергетики Российской Федерации от 14 мая 2025 г. № 511 «Об утверждении Правил технической эксплуатации объектов теплоснабжения и </w:t>
      </w:r>
      <w:r>
        <w:rPr>
          <w:color w:val="111111"/>
          <w:sz w:val="28"/>
          <w:szCs w:val="28"/>
          <w:lang w:eastAsia="zh-CN"/>
        </w:rPr>
        <w:t xml:space="preserve">теплопотребляющих</w:t>
      </w:r>
      <w:r>
        <w:rPr>
          <w:color w:val="111111"/>
          <w:sz w:val="28"/>
          <w:szCs w:val="28"/>
          <w:lang w:eastAsia="zh-CN"/>
        </w:rPr>
        <w:t xml:space="preserve"> установок»;</w:t>
      </w:r>
      <w:r>
        <w:rPr>
          <w:color w:val="111111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/>
      <w:bookmarkStart w:id="0" w:name="p_1"/>
      <w:r/>
      <w:bookmarkEnd w:id="0"/>
      <w:r>
        <w:rPr>
          <w:color w:val="111111"/>
          <w:sz w:val="28"/>
          <w:szCs w:val="28"/>
          <w:lang w:eastAsia="zh-CN"/>
        </w:rPr>
        <w:t xml:space="preserve">приказа Госс</w:t>
      </w:r>
      <w:r>
        <w:rPr>
          <w:color w:val="111111"/>
          <w:sz w:val="28"/>
          <w:szCs w:val="28"/>
          <w:lang w:eastAsia="zh-CN"/>
        </w:rPr>
        <w:t xml:space="preserve">троя России от 20 августа 2001 г. № 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жилищно-коммунального комплекса»;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>
        <w:rPr>
          <w:color w:val="111111"/>
          <w:sz w:val="28"/>
          <w:szCs w:val="28"/>
          <w:lang w:eastAsia="zh-CN"/>
        </w:rPr>
        <w:t xml:space="preserve">приказа Министерства энергетики Российской Федерации от 13 ноября </w:t>
      </w:r>
      <w:r>
        <w:rPr>
          <w:color w:val="111111"/>
          <w:sz w:val="28"/>
          <w:szCs w:val="28"/>
          <w:lang w:eastAsia="zh-CN"/>
        </w:rPr>
        <w:br/>
        <w:t xml:space="preserve">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приказа Министерства регионального развития </w:t>
      </w:r>
      <w:r>
        <w:rPr>
          <w:color w:val="111111"/>
          <w:sz w:val="28"/>
          <w:szCs w:val="28"/>
          <w:lang w:eastAsia="zh-CN"/>
        </w:rPr>
        <w:t xml:space="preserve">Российской Федерации</w:t>
      </w:r>
      <w:r>
        <w:rPr>
          <w:color w:val="000000"/>
          <w:sz w:val="28"/>
          <w:szCs w:val="28"/>
          <w:lang w:eastAsia="zh-CN"/>
        </w:rPr>
        <w:t xml:space="preserve"> </w:t>
      </w:r>
      <w:r>
        <w:rPr>
          <w:color w:val="000000"/>
          <w:sz w:val="28"/>
          <w:szCs w:val="28"/>
          <w:lang w:eastAsia="zh-CN"/>
        </w:rPr>
        <w:br/>
        <w:t xml:space="preserve">от 14 апреля 2008 г. № 48 «Об утверждении Методики проведения мониторинга выполнения производственных и инвестиционных программ организаций коммунального комплекса»;</w:t>
      </w:r>
      <w:r>
        <w:rPr>
          <w:color w:val="000000"/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color w:val="000000"/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 xml:space="preserve">приказа МЧС России от 5 июля 2021 г. № 429 «Об установлении критериев информации о чрезвычайных ситуациях природного и техногенного характера». </w:t>
      </w:r>
      <w:r>
        <w:rPr>
          <w:color w:val="000000"/>
          <w:sz w:val="28"/>
          <w:szCs w:val="28"/>
          <w:lang w:eastAsia="zh-CN"/>
        </w:rPr>
      </w:r>
    </w:p>
    <w:p>
      <w:pPr>
        <w:pStyle w:val="700"/>
        <w:ind w:left="0"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1.2. Порядок разработан в целях: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повышения эффективности, устойчивости и надежности функционирования объектов жилищно-коммунального хозяйства на территории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sz w:val="28"/>
          <w:szCs w:val="28"/>
          <w:lang w:eastAsia="zh-CN"/>
        </w:rPr>
        <w:t xml:space="preserve"> округа</w:t>
      </w:r>
      <w:r>
        <w:rPr>
          <w:rFonts w:eastAsia="Calibri"/>
          <w:spacing w:val="2"/>
          <w:sz w:val="28"/>
          <w:szCs w:val="28"/>
        </w:rPr>
        <w:t xml:space="preserve"> Нижегородской области</w:t>
      </w:r>
      <w:r>
        <w:rPr>
          <w:sz w:val="28"/>
          <w:szCs w:val="28"/>
          <w:lang w:eastAsia="zh-CN"/>
        </w:rPr>
        <w:t xml:space="preserve">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мобилизации усилий по ликвидации аварий (</w:t>
      </w:r>
      <w:r>
        <w:rPr>
          <w:rFonts w:eastAsia="Calibri"/>
          <w:spacing w:val="2"/>
          <w:sz w:val="28"/>
          <w:szCs w:val="28"/>
        </w:rPr>
        <w:t xml:space="preserve">далее также – </w:t>
      </w:r>
      <w:r>
        <w:rPr>
          <w:sz w:val="28"/>
          <w:szCs w:val="28"/>
          <w:lang w:eastAsia="zh-CN"/>
        </w:rPr>
        <w:t xml:space="preserve">технологические нарушения, аварийные ситуации) и </w:t>
      </w:r>
      <w:r>
        <w:rPr>
          <w:rFonts w:eastAsia="Calibri"/>
          <w:spacing w:val="2"/>
          <w:sz w:val="28"/>
          <w:szCs w:val="28"/>
        </w:rPr>
        <w:t xml:space="preserve">последствий</w:t>
      </w:r>
      <w:r>
        <w:rPr>
          <w:sz w:val="28"/>
          <w:szCs w:val="28"/>
          <w:lang w:eastAsia="zh-CN"/>
        </w:rPr>
        <w:t xml:space="preserve"> аварийных ситуаций на объектах теплоснабжения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rFonts w:eastAsia="Calibri"/>
          <w:spacing w:val="2"/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округа </w:t>
      </w:r>
      <w:r>
        <w:rPr>
          <w:rFonts w:eastAsia="Calibri"/>
          <w:spacing w:val="2"/>
          <w:sz w:val="28"/>
          <w:szCs w:val="28"/>
        </w:rPr>
        <w:t xml:space="preserve">Нижегородской области</w:t>
      </w:r>
      <w:r>
        <w:rPr>
          <w:sz w:val="28"/>
          <w:szCs w:val="28"/>
          <w:lang w:eastAsia="zh-CN"/>
        </w:rPr>
        <w:t xml:space="preserve">;</w:t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снижения уровня технологических нарушений и аварийных ситуаций на объектах теплоснабжения, минимизации последствий возникновения технологических нарушений и аварийных ситуаций на объектах теплоснабжения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sz w:val="28"/>
          <w:szCs w:val="28"/>
          <w:lang w:eastAsia="zh-CN"/>
        </w:rPr>
        <w:t xml:space="preserve"> округа </w:t>
      </w:r>
      <w:r>
        <w:rPr>
          <w:rFonts w:eastAsia="Calibri"/>
          <w:spacing w:val="2"/>
          <w:sz w:val="28"/>
          <w:szCs w:val="28"/>
        </w:rPr>
        <w:t xml:space="preserve">Нижегородской области</w:t>
      </w:r>
      <w:r>
        <w:rPr>
          <w:sz w:val="28"/>
          <w:szCs w:val="28"/>
          <w:lang w:eastAsia="zh-CN"/>
        </w:rPr>
        <w:t xml:space="preserve">.</w:t>
      </w:r>
      <w:r>
        <w:rPr>
          <w:sz w:val="28"/>
          <w:szCs w:val="28"/>
          <w:lang w:eastAsia="zh-CN"/>
        </w:rPr>
      </w:r>
    </w:p>
    <w:p>
      <w:pPr>
        <w:pStyle w:val="700"/>
        <w:ind w:left="0" w:firstLine="709"/>
        <w:jc w:val="both"/>
        <w:spacing w:line="276" w:lineRule="auto"/>
        <w:shd w:val="clear" w:color="auto" w:fill="ffffff"/>
        <w:tabs>
          <w:tab w:val="left" w:pos="709" w:leader="none"/>
        </w:tabs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1.3.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нем. </w:t>
      </w:r>
      <w:r>
        <w:rPr>
          <w:rFonts w:eastAsia="Calibri"/>
          <w:spacing w:val="2"/>
          <w:sz w:val="28"/>
          <w:szCs w:val="28"/>
        </w:rPr>
      </w:r>
    </w:p>
    <w:p>
      <w:pPr>
        <w:pStyle w:val="700"/>
        <w:ind w:left="0" w:firstLine="709"/>
        <w:jc w:val="both"/>
        <w:spacing w:line="276" w:lineRule="auto"/>
        <w:shd w:val="clear" w:color="auto" w:fill="ffffff"/>
        <w:tabs>
          <w:tab w:val="left" w:pos="709" w:leader="none"/>
        </w:tabs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1.4. Электронное моделирование аварийных ситуаций в системах теплоснабжения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sz w:val="28"/>
          <w:szCs w:val="28"/>
          <w:lang w:eastAsia="zh-CN"/>
        </w:rPr>
        <w:t xml:space="preserve"> округа </w:t>
      </w:r>
      <w:r>
        <w:rPr>
          <w:rFonts w:eastAsia="Calibri"/>
          <w:spacing w:val="2"/>
          <w:sz w:val="28"/>
          <w:szCs w:val="28"/>
        </w:rPr>
        <w:t xml:space="preserve">Нижегородской области</w:t>
      </w:r>
      <w:r>
        <w:rPr>
          <w:sz w:val="28"/>
          <w:szCs w:val="28"/>
          <w:lang w:eastAsia="zh-CN"/>
        </w:rPr>
        <w:t xml:space="preserve"> </w:t>
      </w:r>
      <w:r>
        <w:rPr>
          <w:rFonts w:eastAsia="Calibri"/>
          <w:spacing w:val="2"/>
          <w:sz w:val="28"/>
          <w:szCs w:val="28"/>
        </w:rPr>
        <w:t xml:space="preserve">не применяется</w:t>
      </w:r>
      <w:r>
        <w:rPr>
          <w:sz w:val="28"/>
          <w:szCs w:val="28"/>
          <w:lang w:eastAsia="zh-CN"/>
        </w:rPr>
        <w:t xml:space="preserve">.</w:t>
      </w:r>
      <w:r>
        <w:rPr>
          <w:rFonts w:eastAsia="Calibri"/>
          <w:spacing w:val="2"/>
          <w:sz w:val="28"/>
          <w:szCs w:val="28"/>
        </w:rPr>
      </w:r>
    </w:p>
    <w:p>
      <w:pPr>
        <w:pStyle w:val="700"/>
        <w:ind w:left="0"/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</w:pPr>
      <w:r>
        <w:rPr>
          <w:rFonts w:eastAsia="Calibri"/>
          <w:b/>
          <w:spacing w:val="2"/>
          <w:sz w:val="28"/>
          <w:szCs w:val="28"/>
        </w:rPr>
        <w:t xml:space="preserve">2. Сценарии наиболее вероятных аварий и наиболее опасных по последствиям аварий, а также источники (места) их возникновения</w:t>
      </w:r>
      <w:r>
        <w:rPr>
          <w:rFonts w:eastAsia="Calibri"/>
          <w:b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bCs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2.1. Порядок </w:t>
      </w:r>
      <w:r>
        <w:rPr>
          <w:rFonts w:eastAsia="Calibri"/>
          <w:bCs/>
          <w:spacing w:val="2"/>
          <w:sz w:val="28"/>
          <w:szCs w:val="28"/>
        </w:rPr>
        <w:t xml:space="preserve">составляется для:</w:t>
      </w:r>
      <w:r>
        <w:rPr>
          <w:rFonts w:eastAsia="Calibri"/>
          <w:bCs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определения возможных сценариев возникновения и развития технологических нарушений, конкретизации технических средств и действий производственного персонала и спецподразделений по локализации технологических нарушений;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создания благоприятных условий для успешного выполнения мероприятий по ликвидации технологического нарушения;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бесперебойного удовлетворения потребностей населения при ликвидации технологического нарушения.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Наиболее вероятными причинами возникновения технологических нарушений в работе системы теплоснабжения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rFonts w:eastAsia="Calibri"/>
          <w:spacing w:val="2"/>
          <w:sz w:val="28"/>
          <w:szCs w:val="28"/>
        </w:rPr>
        <w:t xml:space="preserve"> Нижегородской области могут послужить: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неблагоприятные </w:t>
      </w:r>
      <w:r>
        <w:rPr>
          <w:rFonts w:eastAsia="Calibri"/>
          <w:spacing w:val="2"/>
          <w:sz w:val="28"/>
          <w:szCs w:val="28"/>
        </w:rPr>
        <w:t xml:space="preserve">погодно</w:t>
      </w:r>
      <w:r>
        <w:rPr>
          <w:rFonts w:eastAsia="Calibri"/>
          <w:spacing w:val="2"/>
          <w:sz w:val="28"/>
          <w:szCs w:val="28"/>
        </w:rPr>
        <w:t xml:space="preserve">-климатические явления (ураганы, смерчи, бури, сильные ветры, сильные морозы, снегопады и метели, обледенение и гололед);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человеческий фактор (неправильные действия персонала);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прекращение подачи электрической энергии, холодной воды, топлива на источник тепловой энергии;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внеплановая остановка (выход из строя) оборудования на объектах системы теплоснабжения</w:t>
      </w:r>
      <w:r>
        <w:rPr>
          <w:rFonts w:eastAsia="Calibri"/>
          <w:spacing w:val="2"/>
          <w:sz w:val="28"/>
          <w:szCs w:val="28"/>
        </w:rPr>
        <w:t xml:space="preserve">;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внешние воздействия (прилеты БПЛА, террористические акты).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2.2. Сценарии наиболее вероятных аварий и наиболее опасных по последствиям аварий, а также источники (места) их возникновения указаны в Приложении 1 к Порядку.</w:t>
      </w:r>
      <w:r>
        <w:rPr>
          <w:rFonts w:eastAsia="Calibri"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</w:pPr>
      <w:r>
        <w:rPr>
          <w:rFonts w:eastAsia="Calibri"/>
          <w:b/>
          <w:spacing w:val="2"/>
          <w:sz w:val="28"/>
          <w:szCs w:val="28"/>
        </w:rPr>
        <w:t xml:space="preserve">3. Количество сил и средств, используемых для локализации </w:t>
      </w:r>
      <w:r>
        <w:rPr>
          <w:rFonts w:eastAsia="Calibri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</w:pPr>
      <w:r>
        <w:rPr>
          <w:rFonts w:eastAsia="Calibri"/>
          <w:b/>
          <w:spacing w:val="2"/>
          <w:sz w:val="28"/>
          <w:szCs w:val="28"/>
        </w:rPr>
        <w:t xml:space="preserve">и ликвидации последствий аварий на объекте теплоснабжения</w:t>
      </w:r>
      <w:r>
        <w:rPr>
          <w:rFonts w:eastAsia="Calibri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</w:pPr>
      <w:r>
        <w:rPr>
          <w:rFonts w:eastAsia="Calibri"/>
          <w:b/>
          <w:spacing w:val="2"/>
          <w:sz w:val="28"/>
          <w:szCs w:val="28"/>
        </w:rPr>
        <w:t xml:space="preserve">(далее - силы и средства)</w:t>
      </w:r>
      <w:r>
        <w:rPr>
          <w:rFonts w:eastAsia="Calibri"/>
          <w:b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sz w:val="28"/>
        </w:rPr>
      </w:pPr>
      <w:r>
        <w:rPr>
          <w:rFonts w:eastAsia="Calibri"/>
          <w:spacing w:val="2"/>
          <w:sz w:val="28"/>
          <w:szCs w:val="28"/>
        </w:rPr>
        <w:t xml:space="preserve">3.1. </w:t>
      </w:r>
      <w:r>
        <w:rPr>
          <w:sz w:val="28"/>
        </w:rPr>
        <w:t xml:space="preserve">В режиме повседневной деятельности на объектах теплоснабжения осуществляется дежурство специалистов. </w:t>
      </w:r>
      <w:r>
        <w:rPr>
          <w:sz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sz w:val="28"/>
        </w:rPr>
      </w:pPr>
      <w:r>
        <w:rPr>
          <w:sz w:val="28"/>
        </w:rPr>
        <w:t xml:space="preserve">К работам при ликвидации последствий </w:t>
      </w:r>
      <w:r>
        <w:rPr>
          <w:rFonts w:eastAsia="Calibri"/>
          <w:spacing w:val="2"/>
          <w:sz w:val="28"/>
          <w:szCs w:val="28"/>
        </w:rPr>
        <w:t xml:space="preserve">технологических нарушений</w:t>
      </w:r>
      <w:r>
        <w:rPr>
          <w:sz w:val="28"/>
        </w:rPr>
        <w:t xml:space="preserve"> привлекаются специалисты: диспетчерской службы, оперативный персонал котельных, аварийно-ремонтные бригады, специальная техника и оборудование </w:t>
      </w:r>
      <w:r>
        <w:rPr>
          <w:sz w:val="28"/>
        </w:rPr>
        <w:t xml:space="preserve">(как в рабочее время, так и в круглосуточном режиме) организаций, в ведении которых находятся объекты теплоснабжения. </w:t>
      </w:r>
      <w:r>
        <w:rPr>
          <w:sz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sz w:val="28"/>
        </w:rPr>
      </w:pPr>
      <w:r>
        <w:rPr>
          <w:sz w:val="28"/>
        </w:rPr>
        <w:t xml:space="preserve">Время готовности к работам по ликвидации аварии - 45 мин. </w:t>
      </w:r>
      <w:r>
        <w:rPr>
          <w:sz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sz w:val="28"/>
        </w:rPr>
      </w:pPr>
      <w:r>
        <w:rPr>
          <w:sz w:val="28"/>
        </w:rPr>
        <w:t xml:space="preserve">3.2. Для ликвидации </w:t>
      </w:r>
      <w:r>
        <w:rPr>
          <w:rFonts w:eastAsia="Calibri"/>
          <w:spacing w:val="2"/>
          <w:sz w:val="28"/>
          <w:szCs w:val="28"/>
        </w:rPr>
        <w:t xml:space="preserve">технологических нарушений</w:t>
      </w:r>
      <w:r>
        <w:rPr>
          <w:sz w:val="28"/>
        </w:rPr>
        <w:t xml:space="preserve"> создаются и используются: </w:t>
      </w:r>
      <w:r>
        <w:rPr>
          <w:sz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sz w:val="28"/>
        </w:rPr>
      </w:pPr>
      <w:r>
        <w:rPr>
          <w:sz w:val="28"/>
        </w:rPr>
        <w:t xml:space="preserve">- резервы финансовых и материальных ресурсов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sz w:val="28"/>
          <w:szCs w:val="28"/>
          <w:lang w:eastAsia="zh-CN"/>
        </w:rPr>
        <w:t xml:space="preserve"> </w:t>
      </w:r>
      <w:r>
        <w:rPr>
          <w:rFonts w:eastAsia="Calibri"/>
          <w:spacing w:val="2"/>
          <w:sz w:val="28"/>
          <w:szCs w:val="28"/>
        </w:rPr>
        <w:t xml:space="preserve">Нижегородской области</w:t>
      </w:r>
      <w:r>
        <w:rPr>
          <w:sz w:val="28"/>
        </w:rPr>
        <w:t xml:space="preserve">; </w:t>
      </w:r>
      <w:r>
        <w:rPr>
          <w:sz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sz w:val="28"/>
        </w:rPr>
      </w:pPr>
      <w:r>
        <w:rPr>
          <w:sz w:val="28"/>
        </w:rPr>
        <w:t xml:space="preserve">- резервы финансовых и материальных ресурсов организаций, функционирующих в системах теплоснабжения на территории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sz w:val="28"/>
          <w:szCs w:val="28"/>
          <w:lang w:eastAsia="zh-CN"/>
        </w:rPr>
        <w:t xml:space="preserve"> </w:t>
      </w:r>
      <w:r>
        <w:rPr>
          <w:rFonts w:eastAsia="Calibri"/>
          <w:spacing w:val="2"/>
          <w:sz w:val="28"/>
          <w:szCs w:val="28"/>
        </w:rPr>
        <w:t xml:space="preserve">округа Нижегородской области</w:t>
      </w:r>
      <w:r>
        <w:rPr>
          <w:sz w:val="28"/>
        </w:rPr>
        <w:t xml:space="preserve">.</w:t>
      </w:r>
      <w:r>
        <w:rPr>
          <w:sz w:val="28"/>
        </w:rPr>
      </w:r>
    </w:p>
    <w:p>
      <w:pPr>
        <w:ind w:firstLine="709"/>
        <w:jc w:val="both"/>
        <w:spacing w:line="276" w:lineRule="auto"/>
        <w:widowControl w:val="off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Количество сил и средств, используемых для локализации и ликвидации последствий </w:t>
      </w:r>
      <w:r>
        <w:rPr>
          <w:rFonts w:eastAsia="Calibri"/>
          <w:spacing w:val="2"/>
          <w:sz w:val="28"/>
          <w:szCs w:val="28"/>
        </w:rPr>
        <w:t xml:space="preserve">технологических нарушений</w:t>
      </w:r>
      <w:r>
        <w:rPr>
          <w:sz w:val="28"/>
          <w:szCs w:val="28"/>
          <w:lang w:eastAsia="zh-CN"/>
        </w:rPr>
        <w:t xml:space="preserve"> на объектах теплоснабжения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sz w:val="28"/>
          <w:szCs w:val="28"/>
          <w:lang w:eastAsia="zh-CN"/>
        </w:rPr>
        <w:t xml:space="preserve"> </w:t>
      </w:r>
      <w:r>
        <w:rPr>
          <w:rFonts w:eastAsia="Calibri"/>
          <w:spacing w:val="2"/>
          <w:sz w:val="28"/>
          <w:szCs w:val="28"/>
        </w:rPr>
        <w:t xml:space="preserve">округа Нижегородской области, </w:t>
      </w:r>
      <w:r>
        <w:rPr>
          <w:sz w:val="28"/>
          <w:szCs w:val="28"/>
          <w:lang w:eastAsia="zh-CN"/>
        </w:rPr>
        <w:t xml:space="preserve">приведено в таблице:</w:t>
      </w:r>
      <w:r>
        <w:rPr>
          <w:sz w:val="28"/>
          <w:szCs w:val="28"/>
          <w:lang w:eastAsia="zh-CN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46"/>
        <w:gridCol w:w="2047"/>
        <w:gridCol w:w="546"/>
        <w:gridCol w:w="544"/>
        <w:gridCol w:w="565"/>
        <w:gridCol w:w="848"/>
        <w:gridCol w:w="850"/>
        <w:gridCol w:w="1326"/>
        <w:gridCol w:w="790"/>
        <w:gridCol w:w="848"/>
        <w:gridCol w:w="1045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№ п/п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Наименование органа местного самоуправления</w:t>
            </w:r>
            <w:r>
              <w:rPr>
                <w:lang w:eastAsia="zh-CN"/>
              </w:rPr>
            </w:r>
          </w:p>
        </w:tc>
        <w:tc>
          <w:tcPr>
            <w:gridSpan w:val="9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Информация о сформированных аварийных бригадах на объектах ЖКХ и в сфере эксплуатации жилищного фонда на территории </w:t>
            </w:r>
            <w:r>
              <w:rPr>
                <w:rFonts w:eastAsia="Calibri"/>
                <w:spacing w:val="2"/>
              </w:rPr>
              <w:t xml:space="preserve">Бутурлинского муниципального</w:t>
            </w:r>
            <w:r>
              <w:rPr>
                <w:lang w:eastAsia="zh-CN"/>
              </w:rPr>
              <w:t xml:space="preserve"> </w:t>
            </w:r>
            <w:r>
              <w:rPr>
                <w:rFonts w:eastAsia="Calibri"/>
                <w:spacing w:val="2"/>
              </w:rPr>
              <w:t xml:space="preserve">округа Нижегородской области</w:t>
            </w:r>
            <w:r>
              <w:rPr>
                <w:lang w:eastAsia="zh-CN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всего бригад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" w:type="pct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общая численность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количество спецтехники</w:t>
            </w:r>
            <w:r>
              <w:rPr>
                <w:lang w:eastAsia="zh-C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9" w:type="pct"/>
            <w:vAlign w:val="center"/>
            <w:textDirection w:val="lrTb"/>
            <w:noWrap w:val="false"/>
          </w:tcPr>
          <w:p>
            <w:pPr>
              <w:ind w:left="92" w:right="184"/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в том числе аварийных бригад РСО</w:t>
            </w:r>
            <w:r>
              <w:rPr>
                <w:lang w:eastAsia="zh-CN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8" w:type="pct"/>
            <w:vAlign w:val="center"/>
            <w:textDirection w:val="lrTb"/>
            <w:noWrap w:val="false"/>
          </w:tcPr>
          <w:p>
            <w:pPr>
              <w:ind w:left="100" w:right="142"/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в том числе организаций, осуществляющих эксплуатацию жилищного фонда (УК, ТСЖ, ТСН и др.)</w:t>
            </w:r>
            <w:r>
              <w:rPr>
                <w:lang w:eastAsia="zh-CN"/>
              </w:rPr>
            </w:r>
          </w:p>
        </w:tc>
      </w:tr>
      <w:tr>
        <w:tblPrEx/>
        <w:trPr>
          <w:cantSplit/>
          <w:trHeight w:val="2887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всего бригад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7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общая численность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количество спецтехники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всего бригад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общая численность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pct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количество спецтехники</w:t>
            </w:r>
            <w:r>
              <w:rPr>
                <w:lang w:eastAsia="zh-C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ед.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чел.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ед.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ед.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чел.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ед.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ед.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чел.</w:t>
            </w:r>
            <w:r>
              <w:rPr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ед.</w:t>
            </w:r>
            <w:r>
              <w:rPr>
                <w:lang w:eastAsia="zh-CN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1</w:t>
            </w:r>
            <w:r>
              <w:rPr>
                <w:color w:val="000000"/>
                <w:lang w:eastAsia="zh-C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8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Бутурлинский муниципальный округ Нижегородской области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6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</w:tr>
    </w:tbl>
    <w:p>
      <w:pPr>
        <w:ind w:firstLine="720"/>
        <w:jc w:val="both"/>
        <w:spacing w:line="276" w:lineRule="auto"/>
        <w:widowControl w:val="off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3.3. Обеспечение правильности ликвидации последствий </w:t>
      </w:r>
      <w:r>
        <w:rPr>
          <w:rFonts w:eastAsia="Calibri"/>
          <w:spacing w:val="2"/>
          <w:sz w:val="28"/>
          <w:szCs w:val="28"/>
        </w:rPr>
        <w:t xml:space="preserve">технологических нарушений</w:t>
      </w:r>
      <w:r>
        <w:rPr>
          <w:sz w:val="28"/>
          <w:szCs w:val="28"/>
          <w:lang w:eastAsia="zh-CN"/>
        </w:rPr>
        <w:t xml:space="preserve"> и минимизации ущерба от их возникновения во многом зависит от согласованности действий всех участников и ответственных лиц.</w:t>
      </w:r>
      <w:r>
        <w:rPr>
          <w:sz w:val="28"/>
          <w:szCs w:val="28"/>
          <w:lang w:eastAsia="zh-CN"/>
        </w:rPr>
      </w:r>
    </w:p>
    <w:p>
      <w:pPr>
        <w:ind w:firstLine="72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Все ответственные лица обязаны четко знать и строго выполнять установленный порядок своих действий.</w:t>
      </w:r>
      <w:r>
        <w:rPr>
          <w:sz w:val="28"/>
          <w:szCs w:val="28"/>
        </w:rPr>
      </w:r>
    </w:p>
    <w:p>
      <w:pPr>
        <w:ind w:firstLine="720"/>
        <w:jc w:val="both"/>
        <w:spacing w:line="276" w:lineRule="auto"/>
        <w:rPr>
          <w:rFonts w:eastAsia="Calibri"/>
          <w:spacing w:val="2"/>
          <w:sz w:val="28"/>
          <w:szCs w:val="28"/>
        </w:rPr>
      </w:pPr>
      <w:r>
        <w:rPr>
          <w:sz w:val="28"/>
          <w:szCs w:val="28"/>
        </w:rPr>
        <w:t xml:space="preserve">Информация об ответственных лицах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 xml:space="preserve">округа </w:t>
      </w:r>
      <w:r>
        <w:rPr>
          <w:rFonts w:eastAsia="Calibri"/>
          <w:spacing w:val="2"/>
          <w:sz w:val="28"/>
          <w:szCs w:val="28"/>
        </w:rPr>
        <w:t xml:space="preserve">Нижегородской области</w:t>
      </w:r>
      <w:r>
        <w:rPr>
          <w:sz w:val="28"/>
          <w:szCs w:val="28"/>
        </w:rPr>
        <w:t xml:space="preserve"> приведена в Приложении 2</w:t>
      </w:r>
      <w:r>
        <w:rPr>
          <w:rFonts w:eastAsia="Calibri"/>
          <w:spacing w:val="2"/>
          <w:sz w:val="28"/>
          <w:szCs w:val="28"/>
        </w:rPr>
        <w:t xml:space="preserve"> к Порядку.</w:t>
      </w:r>
      <w:r>
        <w:rPr>
          <w:rFonts w:eastAsia="Calibri"/>
          <w:spacing w:val="2"/>
          <w:sz w:val="28"/>
          <w:szCs w:val="28"/>
        </w:rPr>
      </w:r>
    </w:p>
    <w:p>
      <w:pPr>
        <w:ind w:firstLine="720"/>
        <w:jc w:val="both"/>
        <w:spacing w:line="276" w:lineRule="auto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3.4.</w:t>
      </w:r>
      <w:r>
        <w:rPr>
          <w:sz w:val="28"/>
          <w:szCs w:val="28"/>
          <w:lang w:eastAsia="zh-CN"/>
        </w:rPr>
        <w:t xml:space="preserve"> Телефоны для оперативной связи приведены в Приложении 3 </w:t>
      </w:r>
      <w:r>
        <w:rPr>
          <w:rFonts w:eastAsia="Calibri"/>
          <w:spacing w:val="2"/>
          <w:sz w:val="28"/>
          <w:szCs w:val="28"/>
        </w:rPr>
        <w:t xml:space="preserve">к Порядку.</w:t>
      </w:r>
      <w:r>
        <w:rPr>
          <w:sz w:val="28"/>
          <w:szCs w:val="28"/>
          <w:lang w:eastAsia="zh-CN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</w:pPr>
      <w:r>
        <w:rPr>
          <w:rFonts w:eastAsia="Calibri"/>
          <w:b/>
          <w:spacing w:val="2"/>
          <w:sz w:val="28"/>
          <w:szCs w:val="28"/>
        </w:rPr>
        <w:t xml:space="preserve">4. 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</w:t>
      </w:r>
      <w:r>
        <w:rPr>
          <w:rFonts w:eastAsia="Calibri"/>
          <w:b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bCs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4.1. При ликвидации технологических нарушений на объектах жилищно-коммунального хозяйства необходимо руководствоваться нормами постановления </w:t>
      </w:r>
      <w:r>
        <w:rPr>
          <w:rFonts w:eastAsia="Calibri"/>
          <w:bCs/>
          <w:spacing w:val="2"/>
          <w:sz w:val="28"/>
          <w:szCs w:val="28"/>
        </w:rPr>
        <w:t xml:space="preserve">Правительства Нижегородской области от 27 декабря 2005 г. </w:t>
      </w:r>
      <w:r>
        <w:rPr>
          <w:rFonts w:eastAsia="Calibri"/>
          <w:bCs/>
          <w:spacing w:val="2"/>
          <w:sz w:val="28"/>
          <w:szCs w:val="28"/>
        </w:rPr>
        <w:t xml:space="preserve">     </w:t>
      </w:r>
      <w:r>
        <w:rPr>
          <w:rFonts w:eastAsia="Calibri"/>
          <w:bCs/>
          <w:spacing w:val="2"/>
          <w:sz w:val="28"/>
          <w:szCs w:val="28"/>
        </w:rPr>
        <w:t xml:space="preserve">№ 323 «О единой системе оперативно-диспетчерского управления при авариях и чрезвычайных ситуациях Нижегородской области».</w:t>
      </w:r>
      <w:r>
        <w:rPr>
          <w:rFonts w:eastAsia="Calibri"/>
          <w:bCs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 При получении сигнала (сообщения) о технологическом нарушении начальник смены тепловых сетей, операторы котельных и тепловых сетей оперативно-диспетчерской службы обязаны: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4.2.1. Уточнить у сообщившего лица координаты места повреждения (подробный адрес, ориентиры и т.д.), выяснить, по возможности, какой элемент тепловой сети поврежден, характер повреждения.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4.2.2. Немедленно направить к месту повреждения аварийно-восстановительные бригады.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4.2.3. Сообщить о случившемся руководству округа и начальн</w:t>
      </w:r>
      <w:r>
        <w:rPr>
          <w:rFonts w:eastAsia="Calibri"/>
          <w:spacing w:val="2"/>
          <w:sz w:val="28"/>
          <w:szCs w:val="28"/>
        </w:rPr>
        <w:t xml:space="preserve">икам центрально-ремонтной, оперативно-диспетчерской служб, аварийно-восстановительной бригады все имеющиеся сведения о характере повреждения, ориентировочном наборе материалов, перечне транспорта, машин и механизмов, необходимых для ликвидации повреждения.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4.2.4. Немедленно прин</w:t>
      </w:r>
      <w:r>
        <w:rPr>
          <w:rFonts w:eastAsia="Calibri"/>
          <w:spacing w:val="2"/>
          <w:sz w:val="28"/>
          <w:szCs w:val="28"/>
        </w:rPr>
        <w:t xml:space="preserve">ять меры к ограждению места повреждения, установлению предупредительных плакатов, выставлению наблюдающих для перекрытия доступа в опасную зону, а при ограниченной видимости – красных фонарей для предотвращения несчастных случаев с пешеходами и автотранспо</w:t>
      </w:r>
      <w:r>
        <w:rPr>
          <w:rFonts w:eastAsia="Calibri"/>
          <w:spacing w:val="2"/>
          <w:sz w:val="28"/>
          <w:szCs w:val="28"/>
        </w:rPr>
        <w:t xml:space="preserve">ртом (ограждения, фонари, плакаты должны постоянно находиться в аварийных автомашинах); запросить помощи в организации движения транспорта и пешеходов, а также при необходимости в оцеплении опасной зоны разлива горячей воды у спецподразделений МЧС, ГИБДД.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4.2.5. Получив точную информацию о характере и месте повреждения, принять срочные меры по отключению поврежденного участка тепловой сети.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4.2.6. Принять меры по ликвидации повреждения и по предотвращению развития технологических нарушений (по локализации повреждения), усугубления ее последствий и восстановлению нормального режима работы тепловой сети.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4.2.7. Вести записи обо всех действиях в оперативном журнале. Запись всех диспетчерских оперативных переговоров по ликвидации повреждения ведется в автоматическом режиме.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4.2.8. Бригады центрально-ремонтной и оперативно-диспетчерской службы, (при необходимости подрядные организации) по прибытии на место повреждения поступают в распоряжение лица, ответственного за ликвидацию технологического нарушения.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4.2.9. Руководитель центрально-ремонтной службы, оперативно-диспетчерской службы, начальник смены тепловых сетей и оператор коте</w:t>
      </w:r>
      <w:r>
        <w:rPr>
          <w:rFonts w:eastAsia="Calibri"/>
          <w:spacing w:val="2"/>
          <w:sz w:val="28"/>
          <w:szCs w:val="28"/>
        </w:rPr>
        <w:t xml:space="preserve">льных обязаны предупредить, а при необходимости вызвать ответственных представителей других организаций, имеющих подземные коммуникации в месте повреждения, и согласовать с ними, а также с местными административными органами разрытие траншей и котлованов.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4.2.10. Если работа по ликвидации повреждения по своему объему не может быть выполнена силами центрально-ремонтной службы, то руководитель службы должен доложить об этом ответственному за ликвидацию технологического наруш</w:t>
      </w:r>
      <w:r>
        <w:rPr>
          <w:rFonts w:eastAsia="Calibri"/>
          <w:spacing w:val="2"/>
          <w:sz w:val="28"/>
          <w:szCs w:val="28"/>
        </w:rPr>
        <w:t xml:space="preserve">ения лицу или начальнику смены тепловых сетей, которые в этом случае обязаны принять меры по привлечению дополнительной рабочей силы и механизмов, в том числе сил и средств подрядных организаций, имеющих заключенные договоры с теплоснабжающей организацией.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</w:t>
      </w:r>
      <w:r>
        <w:rPr>
          <w:rFonts w:eastAsia="Calibri"/>
          <w:spacing w:val="2"/>
          <w:sz w:val="28"/>
          <w:szCs w:val="28"/>
        </w:rPr>
        <w:t xml:space="preserve">.11. Ответственный за ликвидацию технологического нарушения обязан через функциональные отделы и службы обеспечить центрально-ремонтные службы необходимыми материалами, транспортом, машинами, механизмами, а также соответствующей технической документацией.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4.2.12. Работы по ликвидации технологического нарушения ведутся круглосуточно. Приемка и сдача смены во время ликвидации технологического нарушения запрещается. Пришедший на смену оперативный персонал </w:t>
      </w:r>
      <w:r>
        <w:rPr>
          <w:rFonts w:eastAsia="Calibri"/>
          <w:spacing w:val="2"/>
          <w:sz w:val="28"/>
          <w:szCs w:val="28"/>
        </w:rPr>
        <w:t xml:space="preserve">используется по усмотрению лица, руководящего ликвидацией технологического нарушения.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4.2.13. Все переключения в аварийных условиях производятся оперативным (оперативно-ремонтным) персоналом в соответствии с требованиями правил техники безопасности и при обязательном применении всех защитных средств.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4.2.14. Включение отремонтированного после повреждения участка тепловой сети производится после приемки работ.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</w:t>
      </w:r>
      <w:r>
        <w:rPr>
          <w:rFonts w:eastAsia="Calibri"/>
          <w:spacing w:val="2"/>
          <w:sz w:val="28"/>
          <w:szCs w:val="28"/>
        </w:rPr>
        <w:t xml:space="preserve">15. По окончании ремонтных работ на трубопроводах тепловых сетей принимаются меры по заполнению теплоносителем отремонтированного участка теплотрасс. Общее руководство операциями по пуску участков трубопроводов осуществляет оперативно-диспетчерская служба.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4.2.16. Для предотвращения и ликвидации технологических нарушений на центральных тепловых пунктах и котельных, эксплуатируемых без постоянного дежурного персонала, должны использоваться устройства автоматики и телемеханики.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4.2.17. В целях оперативного выполнения работ по ликвидации технологических нарушений ответственное лицо организует получение из мест хранения всех необходимых материальных ценностей из аварийного запаса </w:t>
      </w:r>
      <w:r>
        <w:rPr>
          <w:rFonts w:eastAsia="Calibri"/>
          <w:spacing w:val="2"/>
          <w:sz w:val="28"/>
          <w:szCs w:val="28"/>
        </w:rPr>
        <w:br/>
        <w:t xml:space="preserve">(в случае отсутствия/недостаточности материальных ценностей в аварийном запасе выдача производится из производственно-эксплуатационного запаса).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4.2.18. После ликвидации повреждения для расследования технологического нарушения должны быть подготовлены необходимые технологические схемы, информация по параметрам из программного комплекса (при наличии), фотоматериалы, выписки из оперативных докуме</w:t>
      </w:r>
      <w:r>
        <w:rPr>
          <w:rFonts w:eastAsia="Calibri"/>
          <w:spacing w:val="2"/>
          <w:sz w:val="28"/>
          <w:szCs w:val="28"/>
        </w:rPr>
        <w:t xml:space="preserve">нтов, объяснения персонала, записи оперативных переговоров и т.д. Руководитель подразделения, где произошло технологическое нарушение, совместно с отделом охраны труда и производственного контроля осуществляет сбор необходимой для расследования информации.</w:t>
      </w:r>
      <w:r>
        <w:rPr>
          <w:rFonts w:eastAsia="Calibri"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  <w:outlineLvl w:val="2"/>
      </w:pPr>
      <w:r>
        <w:rPr>
          <w:rFonts w:eastAsia="Calibri"/>
          <w:b/>
          <w:spacing w:val="2"/>
          <w:sz w:val="28"/>
          <w:szCs w:val="28"/>
        </w:rPr>
        <w:t xml:space="preserve">5. Состав и дислокация сил и средств</w:t>
      </w:r>
      <w:r>
        <w:rPr>
          <w:rFonts w:eastAsia="Calibri"/>
          <w:b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5.1. Координацию работ по ликвидации технологических нарушений осуществляет единая теплоснабжающая организация, определенная постановлением администрации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rFonts w:eastAsia="Calibri"/>
          <w:spacing w:val="2"/>
          <w:sz w:val="28"/>
          <w:szCs w:val="28"/>
        </w:rPr>
        <w:t xml:space="preserve"> округа Нижегородской области.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5.2. Состав сил и средств определяется теплоснабжающей организацией самостоятельно в соответствии с утвержденным штатным расписанием.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В режиме повседневной деятельности на объектах теплоснабжения осуществляется дежурство специалистами, в том числе операторами котельных, на объектовом уровне – дежурно-диспетчерская служба организации.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5.3. Дислокация средств к месту технологического нарушения осуществляется персоналом из мест их хранения. Необходимый транспорт, механизмы и инструмент для выполнения работ по ликвидации повреждений обеспечивает </w:t>
      </w:r>
      <w:r>
        <w:rPr>
          <w:rFonts w:eastAsia="Calibri"/>
          <w:spacing w:val="2"/>
          <w:sz w:val="28"/>
          <w:szCs w:val="28"/>
        </w:rPr>
        <w:t xml:space="preserve">ресурсоснабжающая</w:t>
      </w:r>
      <w:r>
        <w:rPr>
          <w:rFonts w:eastAsia="Calibri"/>
          <w:spacing w:val="2"/>
          <w:sz w:val="28"/>
          <w:szCs w:val="28"/>
        </w:rPr>
        <w:t xml:space="preserve"> организация.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5.4. Состав и дислокация сил и средств </w:t>
      </w:r>
      <w:r>
        <w:rPr>
          <w:sz w:val="28"/>
          <w:szCs w:val="28"/>
        </w:rPr>
        <w:t xml:space="preserve">приведены в Приложении 4</w:t>
      </w:r>
      <w:r>
        <w:rPr>
          <w:rFonts w:eastAsia="Calibri"/>
          <w:spacing w:val="2"/>
          <w:sz w:val="28"/>
          <w:szCs w:val="28"/>
        </w:rPr>
        <w:t xml:space="preserve"> к Порядку.</w:t>
      </w:r>
      <w:r>
        <w:rPr>
          <w:rFonts w:eastAsia="Calibri"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</w:pPr>
      <w:r>
        <w:rPr>
          <w:rFonts w:eastAsia="Calibri"/>
          <w:b/>
          <w:spacing w:val="2"/>
          <w:sz w:val="28"/>
          <w:szCs w:val="28"/>
        </w:rPr>
        <w:t xml:space="preserve">6. Перечень мероприятий, направленных </w:t>
      </w:r>
      <w:r>
        <w:rPr>
          <w:rFonts w:eastAsia="Calibri"/>
          <w:b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</w:pPr>
      <w:r>
        <w:rPr>
          <w:rFonts w:eastAsia="Calibri"/>
          <w:b/>
          <w:spacing w:val="2"/>
          <w:sz w:val="28"/>
          <w:szCs w:val="28"/>
        </w:rPr>
        <w:t xml:space="preserve">на обеспечение безопасности населения</w:t>
      </w:r>
      <w:r>
        <w:rPr>
          <w:rFonts w:eastAsia="Calibri"/>
          <w:b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6.1. При прибытии на место технологического нарушения старший по должности из числа персонала аварийно-восстановительной бригады эксплуатирующей организации обязан:</w:t>
      </w:r>
      <w:r>
        <w:rPr>
          <w:rFonts w:eastAsia="Calibri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составить общую картину характера, места, размеров аварии;</w:t>
      </w:r>
      <w:r>
        <w:rPr>
          <w:rFonts w:eastAsia="Calibri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  <w:r>
        <w:rPr>
          <w:rFonts w:eastAsia="Calibri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организовать предотвращение развития аварии;</w:t>
      </w:r>
      <w:r>
        <w:rPr>
          <w:rFonts w:eastAsia="Calibri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принять меры к обеспечению безопасности персонала, находящегося в зоне работы;</w:t>
      </w:r>
      <w:r>
        <w:rPr>
          <w:rFonts w:eastAsia="Calibri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получить от дежурного диспетчера по средствам связи для проведения необходимых переключений план действий, измененный режим теплоснабжения, на основании имеющихся источников (электронного моделирования (при наличии).</w:t>
      </w:r>
      <w:r>
        <w:rPr>
          <w:rFonts w:eastAsia="Calibri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определить последовательность отключения от теплоносителя, когда и какие инженерные системы, при необходимости, должны быть опорожнены;</w:t>
      </w:r>
      <w:r>
        <w:rPr>
          <w:rFonts w:eastAsia="Calibri"/>
          <w:spacing w:val="2"/>
          <w:sz w:val="28"/>
          <w:szCs w:val="28"/>
        </w:rPr>
      </w:r>
    </w:p>
    <w:p>
      <w:pPr>
        <w:ind w:firstLine="851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определить необходимость прибытия дополнительных сил и средств для устранения технологического нарушения.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6.2. Самостоятельные действия персонала по ликвидации технологических нарушений не должны противоречить требованиям </w:t>
      </w:r>
      <w:r>
        <w:rPr>
          <w:color w:val="111111"/>
          <w:sz w:val="28"/>
          <w:szCs w:val="28"/>
          <w:lang w:eastAsia="zh-CN"/>
        </w:rPr>
        <w:t xml:space="preserve">Правил технической эксплуатации объектов теплоснабжения и </w:t>
      </w:r>
      <w:r>
        <w:rPr>
          <w:color w:val="111111"/>
          <w:sz w:val="28"/>
          <w:szCs w:val="28"/>
          <w:lang w:eastAsia="zh-CN"/>
        </w:rPr>
        <w:t xml:space="preserve">теплопотребляющих</w:t>
      </w:r>
      <w:r>
        <w:rPr>
          <w:color w:val="111111"/>
          <w:sz w:val="28"/>
          <w:szCs w:val="28"/>
          <w:lang w:eastAsia="zh-CN"/>
        </w:rPr>
        <w:t xml:space="preserve"> установок, утвержденных приказом Министерства энергетики Российской Федерации </w:t>
      </w:r>
      <w:r>
        <w:rPr>
          <w:color w:val="111111"/>
          <w:sz w:val="28"/>
          <w:szCs w:val="28"/>
          <w:lang w:eastAsia="zh-CN"/>
        </w:rPr>
        <w:br/>
        <w:t xml:space="preserve">от 14 мая 2025 г. № 511</w:t>
      </w:r>
      <w:r>
        <w:rPr>
          <w:rFonts w:eastAsia="Calibri"/>
          <w:spacing w:val="2"/>
          <w:sz w:val="28"/>
          <w:szCs w:val="28"/>
        </w:rPr>
        <w:t xml:space="preserve">, правил техники безопасности, производственных инструкций.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6.3. О сложившейся обстановке </w:t>
      </w:r>
      <w:r>
        <w:rPr>
          <w:rFonts w:eastAsia="Calibri"/>
          <w:spacing w:val="2"/>
          <w:sz w:val="28"/>
          <w:szCs w:val="28"/>
        </w:rPr>
        <w:t xml:space="preserve">ресурсоснабжающая</w:t>
      </w:r>
      <w:r>
        <w:rPr>
          <w:rFonts w:eastAsia="Calibri"/>
          <w:spacing w:val="2"/>
          <w:sz w:val="28"/>
          <w:szCs w:val="28"/>
        </w:rPr>
        <w:t xml:space="preserve"> организация информирует население через средства массовой информации, а также передает данные в единую дежурно-диспетчерскую службу (ЕДДС) и администрацию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sz w:val="28"/>
          <w:szCs w:val="28"/>
          <w:lang w:eastAsia="zh-CN"/>
        </w:rPr>
        <w:t xml:space="preserve"> </w:t>
      </w:r>
      <w:r>
        <w:rPr>
          <w:rFonts w:eastAsia="Calibri"/>
          <w:spacing w:val="2"/>
          <w:sz w:val="28"/>
          <w:szCs w:val="28"/>
        </w:rPr>
        <w:t xml:space="preserve">округа Нижегородской области для размещения информации на официальном сайте администрации и последующем информировании населения.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При угрозе распространения аварии за пределы территории предприятия ответственный за ликвидацию технологического нарушения сообщает в кратчайшие сроки в администрацию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sz w:val="28"/>
          <w:szCs w:val="28"/>
          <w:lang w:eastAsia="zh-CN"/>
        </w:rPr>
        <w:t xml:space="preserve"> </w:t>
      </w:r>
      <w:r>
        <w:rPr>
          <w:rFonts w:eastAsia="Calibri"/>
          <w:spacing w:val="2"/>
          <w:sz w:val="28"/>
          <w:szCs w:val="28"/>
        </w:rPr>
        <w:t xml:space="preserve">округа Нижегородской области информацию о возможных последствиях технологического нарушения, в случае необходимости привлекает службу скорой медицинской помощи, подразделения МВД, ГИБДД.</w:t>
      </w:r>
      <w:r>
        <w:rPr>
          <w:rFonts w:eastAsia="Calibri"/>
          <w:spacing w:val="2"/>
          <w:sz w:val="28"/>
          <w:szCs w:val="28"/>
        </w:rPr>
      </w:r>
    </w:p>
    <w:p>
      <w:pPr>
        <w:jc w:val="center"/>
        <w:spacing w:line="276" w:lineRule="auto"/>
        <w:shd w:val="clear" w:color="auto" w:fill="ffffff"/>
        <w:rPr>
          <w:rFonts w:eastAsia="Calibri"/>
          <w:b/>
          <w:spacing w:val="2"/>
          <w:sz w:val="28"/>
          <w:szCs w:val="28"/>
        </w:rPr>
      </w:pPr>
      <w:r/>
      <w:bookmarkStart w:id="1" w:name="_GoBack"/>
      <w:r/>
      <w:bookmarkEnd w:id="1"/>
      <w:r>
        <w:rPr>
          <w:rFonts w:eastAsia="Calibri"/>
          <w:b/>
          <w:spacing w:val="2"/>
          <w:sz w:val="28"/>
          <w:szCs w:val="28"/>
        </w:rPr>
        <w:t xml:space="preserve">7.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  <w:r>
        <w:rPr>
          <w:rFonts w:eastAsia="Calibri"/>
          <w:b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7.1. Для выполнения работ по ликвидации последствий технологических нарушений требуется привлечение сил и средств, достаточных для решения поставленных задач в нормативные сроки.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7.2. Для устранения последствий технологических нарушений создаются и используются: резервы финансовых средств и материально-технического обеспечения </w:t>
      </w:r>
      <w:r>
        <w:rPr>
          <w:rFonts w:eastAsia="Calibri"/>
          <w:spacing w:val="2"/>
          <w:sz w:val="28"/>
          <w:szCs w:val="28"/>
        </w:rPr>
        <w:t xml:space="preserve">ресурсоснабжающих</w:t>
      </w:r>
      <w:r>
        <w:rPr>
          <w:rFonts w:eastAsia="Calibri"/>
          <w:spacing w:val="2"/>
          <w:sz w:val="28"/>
          <w:szCs w:val="28"/>
        </w:rPr>
        <w:t xml:space="preserve">, управляющих (обслуживающих) организаций. 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Объёмы резервов финансовых ресурсов (резервных фондов) определяются ежегодно и утверждаются локальным актом организации и должны обеспечивать проведение аварийно-восстановительных работ в нормативные сроки.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Пр</w:t>
      </w:r>
      <w:r>
        <w:rPr>
          <w:rFonts w:eastAsia="Calibri"/>
          <w:spacing w:val="2"/>
          <w:sz w:val="28"/>
          <w:szCs w:val="28"/>
        </w:rPr>
        <w:t xml:space="preserve">и расчете резерва финансовых средств для локализации и ликвидации последствий технологических нарушений целесообразно руководствоваться методическими документами по проведению оценки ущерба от технологических нарушений на опасных производственных объектах.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При расчете ущерба учитываются такие затраты, потери и убытки, выраженные в сто</w:t>
      </w:r>
      <w:r>
        <w:rPr>
          <w:rFonts w:eastAsia="Calibri"/>
          <w:spacing w:val="2"/>
          <w:sz w:val="28"/>
          <w:szCs w:val="28"/>
        </w:rPr>
        <w:t xml:space="preserve">имостной форме, как затраты, направленные на проведение аварийно-спасательных работ, затраты на эвакуацию людей из зоны технологического нарушения, стоимость ремонтно-восстановительных работ и возмещения вреда здоровью людей, материального ущерба и прочее.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7.3. К работам при ликвидации последствий технологически</w:t>
      </w:r>
      <w:r>
        <w:rPr>
          <w:rFonts w:eastAsia="Calibri"/>
          <w:spacing w:val="2"/>
          <w:sz w:val="28"/>
          <w:szCs w:val="28"/>
        </w:rPr>
        <w:t xml:space="preserve">х нарушений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  <w:r>
        <w:rPr>
          <w:rFonts w:eastAsia="Calibri"/>
          <w:spacing w:val="2"/>
          <w:sz w:val="28"/>
          <w:szCs w:val="28"/>
        </w:rPr>
      </w:r>
    </w:p>
    <w:p>
      <w:pPr>
        <w:ind w:firstLine="709"/>
        <w:jc w:val="both"/>
        <w:spacing w:line="276" w:lineRule="auto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7.4</w:t>
      </w:r>
      <w:r>
        <w:rPr>
          <w:rFonts w:eastAsia="Calibri"/>
          <w:spacing w:val="2"/>
          <w:sz w:val="28"/>
          <w:szCs w:val="28"/>
        </w:rPr>
        <w:t xml:space="preserve">. Материально-технические средства, задействованные в мероприятиях по локализации и ликвидации последствий технологических нарушений, используются только для обеспечения операций по локализации и ликвидации последствий технологических нарушений на объекте.</w:t>
      </w:r>
      <w:r>
        <w:rPr>
          <w:rFonts w:eastAsia="Calibri"/>
          <w:spacing w:val="2"/>
          <w:sz w:val="28"/>
          <w:szCs w:val="28"/>
        </w:rPr>
      </w:r>
    </w:p>
    <w:p>
      <w:pPr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br w:type="page" w:clear="all"/>
      </w:r>
      <w:r>
        <w:rPr>
          <w:rFonts w:eastAsia="Calibri"/>
          <w:spacing w:val="2"/>
          <w:sz w:val="28"/>
          <w:szCs w:val="28"/>
        </w:rPr>
      </w:r>
    </w:p>
    <w:p>
      <w:pPr>
        <w:ind w:left="5387"/>
        <w:jc w:val="right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,Приложение 2</w:t>
      </w:r>
      <w:r>
        <w:rPr>
          <w:rFonts w:eastAsia="Calibri"/>
          <w:spacing w:val="2"/>
          <w:sz w:val="28"/>
          <w:szCs w:val="28"/>
        </w:rPr>
      </w:r>
    </w:p>
    <w:p>
      <w:pPr>
        <w:ind w:left="5387"/>
        <w:jc w:val="right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к Порядку (плану) действий</w:t>
      </w:r>
      <w:r>
        <w:rPr>
          <w:rFonts w:eastAsia="Calibri"/>
          <w:spacing w:val="2"/>
          <w:sz w:val="28"/>
          <w:szCs w:val="28"/>
        </w:rPr>
      </w:r>
    </w:p>
    <w:p>
      <w:pPr>
        <w:ind w:left="5387"/>
        <w:jc w:val="right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по ликвидации последствий</w:t>
      </w:r>
      <w:r>
        <w:rPr>
          <w:rFonts w:eastAsia="Calibri"/>
          <w:spacing w:val="2"/>
          <w:sz w:val="28"/>
          <w:szCs w:val="28"/>
        </w:rPr>
      </w:r>
    </w:p>
    <w:p>
      <w:pPr>
        <w:ind w:left="5387"/>
        <w:jc w:val="right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аварийных ситуаций в сфере</w:t>
      </w:r>
      <w:r>
        <w:rPr>
          <w:rFonts w:eastAsia="Calibri"/>
          <w:spacing w:val="2"/>
          <w:sz w:val="28"/>
          <w:szCs w:val="28"/>
        </w:rPr>
      </w:r>
    </w:p>
    <w:p>
      <w:pPr>
        <w:ind w:left="5387"/>
        <w:jc w:val="right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теплоснабжения в </w:t>
      </w:r>
      <w:r>
        <w:rPr>
          <w:rFonts w:eastAsia="Calibri"/>
          <w:spacing w:val="2"/>
          <w:sz w:val="28"/>
          <w:szCs w:val="28"/>
        </w:rPr>
        <w:t xml:space="preserve">Бутурлинском муниципальном</w:t>
      </w:r>
      <w:r>
        <w:rPr>
          <w:sz w:val="28"/>
          <w:szCs w:val="28"/>
          <w:lang w:eastAsia="zh-CN"/>
        </w:rPr>
        <w:t xml:space="preserve"> </w:t>
      </w:r>
      <w:r>
        <w:rPr>
          <w:rFonts w:eastAsia="Calibri"/>
          <w:spacing w:val="2"/>
          <w:sz w:val="28"/>
          <w:szCs w:val="28"/>
        </w:rPr>
        <w:t xml:space="preserve">округе </w:t>
      </w:r>
      <w:r>
        <w:rPr>
          <w:rFonts w:eastAsia="Calibri"/>
          <w:spacing w:val="2"/>
          <w:sz w:val="28"/>
          <w:szCs w:val="28"/>
        </w:rPr>
      </w:r>
    </w:p>
    <w:p>
      <w:pPr>
        <w:ind w:left="5387"/>
        <w:jc w:val="right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Нижегородской области</w:t>
      </w:r>
      <w:r>
        <w:rPr>
          <w:rFonts w:eastAsia="Calibri"/>
          <w:spacing w:val="2"/>
          <w:sz w:val="28"/>
          <w:szCs w:val="28"/>
        </w:rPr>
      </w:r>
    </w:p>
    <w:p>
      <w:pPr>
        <w:ind w:left="140" w:right="160" w:firstLine="7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ответственных </w:t>
      </w:r>
      <w:r>
        <w:rPr>
          <w:b/>
          <w:sz w:val="28"/>
          <w:szCs w:val="28"/>
        </w:rPr>
        <w:t xml:space="preserve">лицах </w:t>
      </w:r>
      <w:r>
        <w:rPr>
          <w:rFonts w:eastAsia="Calibri"/>
          <w:b/>
          <w:spacing w:val="2"/>
          <w:sz w:val="28"/>
          <w:szCs w:val="28"/>
        </w:rPr>
        <w:t xml:space="preserve">Бутурлинского муниципального</w:t>
      </w:r>
      <w:r>
        <w:rPr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</w:rPr>
        <w:t xml:space="preserve">округа Нижегородской области</w:t>
      </w:r>
      <w:r>
        <w:rPr>
          <w:b/>
          <w:sz w:val="28"/>
          <w:szCs w:val="28"/>
        </w:rPr>
      </w:r>
    </w:p>
    <w:p>
      <w:pPr>
        <w:ind w:left="140" w:right="160" w:firstLine="7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tbl>
      <w:tblPr>
        <w:tblStyle w:val="705"/>
        <w:tblW w:w="0" w:type="auto"/>
        <w:tblInd w:w="140" w:type="dxa"/>
        <w:tblLook w:val="04A0" w:firstRow="1" w:lastRow="0" w:firstColumn="1" w:lastColumn="0" w:noHBand="0" w:noVBand="1"/>
      </w:tblPr>
      <w:tblGrid>
        <w:gridCol w:w="671"/>
        <w:gridCol w:w="4877"/>
        <w:gridCol w:w="4273"/>
      </w:tblGrid>
      <w:tr>
        <w:tblPrEx/>
        <w:trPr/>
        <w:tc>
          <w:tcPr>
            <w:tcW w:w="67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п/п</w:t>
            </w:r>
            <w:r>
              <w:rPr>
                <w:b/>
                <w:sz w:val="28"/>
              </w:rPr>
            </w:r>
          </w:p>
        </w:tc>
        <w:tc>
          <w:tcPr>
            <w:tcW w:w="499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Должностное лицо</w:t>
            </w:r>
            <w:r>
              <w:rPr>
                <w:b/>
                <w:sz w:val="28"/>
              </w:rPr>
            </w:r>
          </w:p>
          <w:p>
            <w:pPr>
              <w:jc w:val="center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(ФИО, должность)</w:t>
            </w:r>
            <w:r>
              <w:rPr>
                <w:b/>
                <w:sz w:val="28"/>
              </w:rPr>
            </w:r>
          </w:p>
        </w:tc>
        <w:tc>
          <w:tcPr>
            <w:tcW w:w="438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Контактные номера телефона</w:t>
            </w:r>
            <w:r>
              <w:rPr>
                <w:b/>
                <w:sz w:val="28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ind w:right="1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1</w:t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991" w:type="dxa"/>
            <w:textDirection w:val="lrTb"/>
            <w:noWrap w:val="false"/>
          </w:tcPr>
          <w:p>
            <w:pPr>
              <w:ind w:right="1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Савинов Вадим Валерьевич, заместитель главы администрации, начальник управления ЖКХ и строительства администрации </w:t>
            </w:r>
            <w:r>
              <w:rPr>
                <w:rFonts w:eastAsia="Calibri"/>
                <w:spacing w:val="2"/>
                <w:sz w:val="28"/>
                <w:szCs w:val="28"/>
              </w:rPr>
              <w:t xml:space="preserve">Бутурлинского муниципального округа Нижегородской области</w:t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382" w:type="dxa"/>
            <w:textDirection w:val="lrTb"/>
            <w:noWrap w:val="false"/>
          </w:tcPr>
          <w:p>
            <w:pPr>
              <w:ind w:right="1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88317254516</w:t>
            </w:r>
            <w:r>
              <w:rPr>
                <w:sz w:val="28"/>
                <w:szCs w:val="28"/>
                <w:lang w:eastAsia="zh-CN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ind w:right="1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</w:t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991" w:type="dxa"/>
            <w:textDirection w:val="lrTb"/>
            <w:noWrap w:val="false"/>
          </w:tcPr>
          <w:p>
            <w:pPr>
              <w:ind w:right="1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Шмелев Сергей Вениаминович, директор МУП «Бутурлинский водоканал»</w:t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382" w:type="dxa"/>
            <w:textDirection w:val="lrTb"/>
            <w:noWrap w:val="false"/>
          </w:tcPr>
          <w:p>
            <w:pPr>
              <w:ind w:right="1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88317251106</w:t>
            </w:r>
            <w:r>
              <w:rPr>
                <w:sz w:val="28"/>
                <w:szCs w:val="28"/>
                <w:lang w:eastAsia="zh-CN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ind w:right="1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3</w:t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991" w:type="dxa"/>
            <w:textDirection w:val="lrTb"/>
            <w:noWrap w:val="false"/>
          </w:tcPr>
          <w:p>
            <w:pPr>
              <w:ind w:right="1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Коннов</w:t>
            </w:r>
            <w:r>
              <w:rPr>
                <w:sz w:val="28"/>
                <w:szCs w:val="28"/>
                <w:lang w:eastAsia="zh-CN"/>
              </w:rPr>
              <w:t xml:space="preserve"> Василий Александрович, директор ООО «</w:t>
            </w:r>
            <w:r>
              <w:rPr>
                <w:sz w:val="28"/>
                <w:szCs w:val="28"/>
                <w:lang w:eastAsia="zh-CN"/>
              </w:rPr>
              <w:t xml:space="preserve">Бутурлинское</w:t>
            </w:r>
            <w:r>
              <w:rPr>
                <w:sz w:val="28"/>
                <w:szCs w:val="28"/>
                <w:lang w:eastAsia="zh-CN"/>
              </w:rPr>
              <w:t xml:space="preserve"> ЖКХ»</w:t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382" w:type="dxa"/>
            <w:textDirection w:val="lrTb"/>
            <w:noWrap w:val="false"/>
          </w:tcPr>
          <w:p>
            <w:pPr>
              <w:ind w:right="1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88317252215</w:t>
            </w:r>
            <w:r>
              <w:rPr>
                <w:sz w:val="28"/>
                <w:szCs w:val="28"/>
                <w:lang w:eastAsia="zh-CN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ind w:right="1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4</w:t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991" w:type="dxa"/>
            <w:textDirection w:val="lrTb"/>
            <w:noWrap w:val="false"/>
          </w:tcPr>
          <w:p>
            <w:pPr>
              <w:ind w:right="1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Горбунов Денис Владимирович, директор ООО «Бутурлинский водоканал»</w:t>
            </w:r>
            <w:r>
              <w:rPr>
                <w:sz w:val="28"/>
                <w:szCs w:val="28"/>
                <w:lang w:eastAsia="zh-CN"/>
              </w:rPr>
            </w:r>
          </w:p>
        </w:tc>
        <w:tc>
          <w:tcPr>
            <w:tcW w:w="4382" w:type="dxa"/>
            <w:textDirection w:val="lrTb"/>
            <w:noWrap w:val="false"/>
          </w:tcPr>
          <w:p>
            <w:pPr>
              <w:ind w:right="1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88317251905</w:t>
            </w:r>
            <w:r>
              <w:rPr>
                <w:sz w:val="28"/>
                <w:szCs w:val="28"/>
                <w:lang w:eastAsia="zh-CN"/>
              </w:rPr>
            </w:r>
          </w:p>
        </w:tc>
      </w:tr>
    </w:tbl>
    <w:p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 w:clear="all"/>
      </w:r>
      <w:r>
        <w:rPr>
          <w:sz w:val="28"/>
          <w:szCs w:val="28"/>
          <w:lang w:eastAsia="zh-CN"/>
        </w:rPr>
      </w:r>
    </w:p>
    <w:p>
      <w:pPr>
        <w:ind w:left="5387"/>
        <w:jc w:val="right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Приложение 3</w:t>
      </w:r>
      <w:r>
        <w:rPr>
          <w:rFonts w:eastAsia="Calibri"/>
          <w:spacing w:val="2"/>
          <w:sz w:val="28"/>
          <w:szCs w:val="28"/>
        </w:rPr>
      </w:r>
    </w:p>
    <w:p>
      <w:pPr>
        <w:ind w:left="5387"/>
        <w:jc w:val="right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к Порядку (плану) действий</w:t>
      </w:r>
      <w:r>
        <w:rPr>
          <w:rFonts w:eastAsia="Calibri"/>
          <w:spacing w:val="2"/>
          <w:sz w:val="28"/>
          <w:szCs w:val="28"/>
        </w:rPr>
      </w:r>
    </w:p>
    <w:p>
      <w:pPr>
        <w:ind w:left="5387"/>
        <w:jc w:val="right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по ликвидации последствий</w:t>
      </w:r>
      <w:r>
        <w:rPr>
          <w:rFonts w:eastAsia="Calibri"/>
          <w:spacing w:val="2"/>
          <w:sz w:val="28"/>
          <w:szCs w:val="28"/>
        </w:rPr>
      </w:r>
    </w:p>
    <w:p>
      <w:pPr>
        <w:ind w:left="5387"/>
        <w:jc w:val="right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аварийных ситуаций в сфере</w:t>
      </w:r>
      <w:r>
        <w:rPr>
          <w:rFonts w:eastAsia="Calibri"/>
          <w:spacing w:val="2"/>
          <w:sz w:val="28"/>
          <w:szCs w:val="28"/>
        </w:rPr>
      </w:r>
    </w:p>
    <w:p>
      <w:pPr>
        <w:ind w:left="5387"/>
        <w:jc w:val="right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теплоснабжения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rFonts w:eastAsia="Calibri"/>
          <w:spacing w:val="2"/>
          <w:sz w:val="28"/>
          <w:szCs w:val="28"/>
        </w:rPr>
      </w:r>
    </w:p>
    <w:p>
      <w:pPr>
        <w:ind w:left="5387"/>
        <w:jc w:val="right"/>
        <w:shd w:val="clear" w:color="auto" w:fill="ffffff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округе Нижегородской области</w:t>
      </w:r>
      <w:r>
        <w:rPr>
          <w:rFonts w:eastAsia="Calibri"/>
          <w:spacing w:val="2"/>
          <w:sz w:val="28"/>
          <w:szCs w:val="28"/>
        </w:rPr>
      </w:r>
    </w:p>
    <w:p>
      <w:pPr>
        <w:ind w:right="160" w:firstLine="70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right="16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Телефоны для оперативной связи</w:t>
      </w:r>
      <w:r>
        <w:rPr>
          <w:b/>
          <w:sz w:val="28"/>
          <w:szCs w:val="28"/>
          <w:lang w:eastAsia="zh-CN"/>
        </w:rPr>
      </w:r>
    </w:p>
    <w:p>
      <w:pPr>
        <w:ind w:right="160" w:firstLine="70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</w:r>
      <w:r>
        <w:rPr>
          <w:b/>
          <w:sz w:val="28"/>
          <w:szCs w:val="28"/>
          <w:lang w:eastAsia="zh-CN"/>
        </w:rPr>
      </w:r>
    </w:p>
    <w:p>
      <w:pPr>
        <w:ind w:right="160" w:firstLine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Диспетчеры </w:t>
      </w:r>
      <w:r>
        <w:rPr>
          <w:sz w:val="28"/>
          <w:szCs w:val="28"/>
          <w:lang w:eastAsia="zh-CN"/>
        </w:rPr>
        <w:t xml:space="preserve">энергоснабжающих</w:t>
      </w:r>
      <w:r>
        <w:rPr>
          <w:sz w:val="28"/>
          <w:szCs w:val="28"/>
          <w:lang w:eastAsia="zh-CN"/>
        </w:rPr>
        <w:t xml:space="preserve"> организаций: </w:t>
      </w:r>
      <w:r>
        <w:rPr>
          <w:sz w:val="28"/>
          <w:szCs w:val="28"/>
          <w:lang w:eastAsia="zh-CN"/>
        </w:rPr>
      </w:r>
    </w:p>
    <w:p>
      <w:pPr>
        <w:ind w:right="160" w:firstLine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– </w:t>
      </w:r>
      <w:r>
        <w:rPr>
          <w:sz w:val="28"/>
          <w:szCs w:val="28"/>
          <w:lang w:eastAsia="zh-CN"/>
        </w:rPr>
        <w:t xml:space="preserve">МУП «Бутурлинский водоканал» 88317251106</w:t>
      </w:r>
      <w:r>
        <w:rPr>
          <w:sz w:val="28"/>
          <w:szCs w:val="28"/>
          <w:lang w:eastAsia="zh-CN"/>
        </w:rPr>
      </w:r>
    </w:p>
    <w:p>
      <w:pPr>
        <w:ind w:right="160" w:firstLine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– </w:t>
      </w:r>
      <w:r>
        <w:rPr>
          <w:sz w:val="28"/>
          <w:szCs w:val="28"/>
          <w:lang w:eastAsia="zh-CN"/>
        </w:rPr>
        <w:t xml:space="preserve">ООО «</w:t>
      </w:r>
      <w:r>
        <w:rPr>
          <w:sz w:val="28"/>
          <w:szCs w:val="28"/>
          <w:lang w:eastAsia="zh-CN"/>
        </w:rPr>
        <w:t xml:space="preserve">Бутурлинское</w:t>
      </w:r>
      <w:r>
        <w:rPr>
          <w:sz w:val="28"/>
          <w:szCs w:val="28"/>
          <w:lang w:eastAsia="zh-CN"/>
        </w:rPr>
        <w:t xml:space="preserve"> ЖКХ» 88317252123, 88317252215</w:t>
      </w:r>
      <w:r>
        <w:rPr>
          <w:sz w:val="28"/>
          <w:szCs w:val="28"/>
          <w:lang w:eastAsia="zh-CN"/>
        </w:rPr>
      </w:r>
    </w:p>
    <w:p>
      <w:pPr>
        <w:ind w:right="160" w:firstLine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</w:t>
      </w:r>
      <w:r>
        <w:rPr>
          <w:sz w:val="28"/>
          <w:szCs w:val="28"/>
          <w:lang w:eastAsia="zh-CN"/>
        </w:rPr>
        <w:t xml:space="preserve">. Пожарные части – 101, 112 </w:t>
      </w:r>
      <w:r>
        <w:rPr>
          <w:sz w:val="28"/>
          <w:szCs w:val="28"/>
          <w:lang w:eastAsia="zh-CN"/>
        </w:rPr>
      </w:r>
    </w:p>
    <w:p>
      <w:pPr>
        <w:ind w:right="160" w:firstLine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</w:t>
      </w:r>
      <w:r>
        <w:rPr>
          <w:sz w:val="28"/>
          <w:szCs w:val="28"/>
          <w:lang w:eastAsia="zh-CN"/>
        </w:rPr>
        <w:t xml:space="preserve">. Скорая медицинская помощь – 103, 112 </w:t>
      </w:r>
      <w:r>
        <w:rPr>
          <w:sz w:val="28"/>
          <w:szCs w:val="28"/>
          <w:lang w:eastAsia="zh-CN"/>
        </w:rPr>
      </w:r>
    </w:p>
    <w:p>
      <w:pPr>
        <w:ind w:right="160" w:firstLine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</w:t>
      </w:r>
      <w:r>
        <w:rPr>
          <w:sz w:val="28"/>
          <w:szCs w:val="28"/>
          <w:lang w:eastAsia="zh-CN"/>
        </w:rPr>
        <w:t xml:space="preserve">. Единая дежурная диспетчерская служба (ЕДДС) </w:t>
      </w:r>
      <w:r>
        <w:rPr>
          <w:rFonts w:eastAsia="Calibri"/>
          <w:spacing w:val="2"/>
          <w:sz w:val="28"/>
          <w:szCs w:val="28"/>
        </w:rPr>
        <w:t xml:space="preserve">Бутурлинского муниципального</w:t>
      </w:r>
      <w:r>
        <w:rPr>
          <w:sz w:val="28"/>
          <w:szCs w:val="28"/>
          <w:lang w:eastAsia="zh-CN"/>
        </w:rPr>
        <w:t xml:space="preserve"> округа </w:t>
      </w:r>
      <w:r>
        <w:rPr>
          <w:rFonts w:eastAsia="Calibri"/>
          <w:spacing w:val="2"/>
          <w:sz w:val="28"/>
          <w:szCs w:val="28"/>
        </w:rPr>
        <w:t xml:space="preserve">Нижегородской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– </w:t>
      </w:r>
      <w:r>
        <w:rPr>
          <w:sz w:val="28"/>
          <w:szCs w:val="28"/>
          <w:lang w:eastAsia="zh-CN"/>
        </w:rPr>
        <w:t xml:space="preserve">88317253908, 88317252193</w:t>
      </w:r>
      <w:r>
        <w:rPr>
          <w:sz w:val="28"/>
          <w:szCs w:val="28"/>
          <w:lang w:eastAsia="zh-CN"/>
        </w:rPr>
      </w:r>
    </w:p>
    <w:p>
      <w:pPr>
        <w:ind w:right="160" w:firstLine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5</w:t>
      </w:r>
      <w:r>
        <w:rPr>
          <w:sz w:val="28"/>
          <w:szCs w:val="28"/>
          <w:lang w:eastAsia="zh-CN"/>
        </w:rPr>
        <w:t xml:space="preserve">. Управляющие организации:</w:t>
      </w:r>
      <w:r>
        <w:rPr>
          <w:sz w:val="28"/>
          <w:szCs w:val="28"/>
          <w:lang w:eastAsia="zh-CN"/>
        </w:rPr>
      </w:r>
    </w:p>
    <w:p>
      <w:pPr>
        <w:ind w:right="160" w:firstLine="42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–</w:t>
      </w:r>
      <w:r>
        <w:rPr>
          <w:sz w:val="28"/>
          <w:szCs w:val="28"/>
          <w:lang w:eastAsia="zh-CN"/>
        </w:rPr>
        <w:t xml:space="preserve"> ООО «Бутурлинский водоканал» 88317253950</w:t>
      </w:r>
      <w:r>
        <w:rPr>
          <w:sz w:val="28"/>
          <w:szCs w:val="28"/>
          <w:lang w:eastAsia="zh-CN"/>
        </w:rPr>
      </w:r>
    </w:p>
    <w:p>
      <w:pPr>
        <w:ind w:right="16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19114924"/>
      <w:docPartObj>
        <w:docPartGallery w:val="Page Numbers (Top of Page)"/>
        <w:docPartUnique w:val="true"/>
      </w:docPartObj>
      <w:rPr>
        <w:rFonts w:ascii="Times New Roman" w:hAnsi="Times New Roman"/>
        <w:sz w:val="28"/>
        <w:szCs w:val="28"/>
      </w:rPr>
    </w:sdtPr>
    <w:sdtContent>
      <w:p>
        <w:pPr>
          <w:pStyle w:val="70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17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703"/>
      <w:ind w:right="36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84"/>
    <w:link w:val="68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2"/>
    <w:next w:val="68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4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2"/>
    <w:next w:val="68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84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2"/>
    <w:next w:val="68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84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2"/>
    <w:next w:val="68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2"/>
    <w:next w:val="68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2"/>
    <w:next w:val="68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2"/>
    <w:next w:val="68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2"/>
    <w:next w:val="68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2"/>
    <w:next w:val="68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4"/>
    <w:link w:val="35"/>
    <w:uiPriority w:val="10"/>
    <w:rPr>
      <w:sz w:val="48"/>
      <w:szCs w:val="48"/>
    </w:rPr>
  </w:style>
  <w:style w:type="paragraph" w:styleId="37">
    <w:name w:val="Subtitle"/>
    <w:basedOn w:val="682"/>
    <w:next w:val="68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84"/>
    <w:link w:val="37"/>
    <w:uiPriority w:val="11"/>
    <w:rPr>
      <w:sz w:val="24"/>
      <w:szCs w:val="24"/>
    </w:rPr>
  </w:style>
  <w:style w:type="paragraph" w:styleId="39">
    <w:name w:val="Quote"/>
    <w:basedOn w:val="682"/>
    <w:next w:val="68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2"/>
    <w:next w:val="68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4"/>
    <w:link w:val="703"/>
    <w:uiPriority w:val="99"/>
  </w:style>
  <w:style w:type="paragraph" w:styleId="45">
    <w:name w:val="Footer"/>
    <w:basedOn w:val="68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84"/>
    <w:link w:val="45"/>
    <w:uiPriority w:val="99"/>
  </w:style>
  <w:style w:type="paragraph" w:styleId="47">
    <w:name w:val="Caption"/>
    <w:basedOn w:val="682"/>
    <w:next w:val="68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4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8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84"/>
    <w:uiPriority w:val="99"/>
    <w:unhideWhenUsed/>
    <w:rPr>
      <w:vertAlign w:val="superscript"/>
    </w:rPr>
  </w:style>
  <w:style w:type="paragraph" w:styleId="179">
    <w:name w:val="endnote text"/>
    <w:basedOn w:val="68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4"/>
    <w:uiPriority w:val="99"/>
    <w:semiHidden/>
    <w:unhideWhenUsed/>
    <w:rPr>
      <w:vertAlign w:val="superscript"/>
    </w:rPr>
  </w:style>
  <w:style w:type="paragraph" w:styleId="182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3">
    <w:name w:val="Heading 1"/>
    <w:basedOn w:val="682"/>
    <w:next w:val="682"/>
    <w:link w:val="689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 w:customStyle="1">
    <w:name w:val="Заголовок мой"/>
    <w:basedOn w:val="683"/>
    <w:link w:val="688"/>
    <w:qFormat/>
    <w:pPr>
      <w:jc w:val="center"/>
      <w:keepLines w:val="0"/>
      <w:spacing w:after="60"/>
    </w:pPr>
    <w:rPr>
      <w:rFonts w:ascii="Times New Roman" w:hAnsi="Times New Roman" w:eastAsia="Times New Roman" w:cs="Times New Roman"/>
      <w:bCs/>
      <w:i/>
      <w:color w:val="0070c0"/>
      <w:sz w:val="28"/>
      <w:szCs w:val="28"/>
      <w:u w:val="single"/>
    </w:rPr>
  </w:style>
  <w:style w:type="character" w:styleId="688" w:customStyle="1">
    <w:name w:val="Заголовок мой Знак"/>
    <w:basedOn w:val="689"/>
    <w:link w:val="687"/>
    <w:rPr>
      <w:rFonts w:ascii="Times New Roman" w:hAnsi="Times New Roman" w:eastAsia="Times New Roman" w:cs="Times New Roman"/>
      <w:bCs/>
      <w:i/>
      <w:color w:val="0070c0"/>
      <w:sz w:val="28"/>
      <w:szCs w:val="28"/>
      <w:u w:val="single"/>
      <w:lang w:eastAsia="ru-RU"/>
    </w:rPr>
  </w:style>
  <w:style w:type="character" w:styleId="689" w:customStyle="1">
    <w:name w:val="Заголовок 1 Знак"/>
    <w:basedOn w:val="684"/>
    <w:link w:val="68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paragraph" w:styleId="690" w:customStyle="1">
    <w:name w:val="s_3"/>
    <w:basedOn w:val="682"/>
    <w:pPr>
      <w:spacing w:before="100" w:beforeAutospacing="1" w:after="100" w:afterAutospacing="1"/>
    </w:pPr>
  </w:style>
  <w:style w:type="paragraph" w:styleId="691" w:customStyle="1">
    <w:name w:val="s_1"/>
    <w:basedOn w:val="682"/>
    <w:pPr>
      <w:spacing w:before="100" w:beforeAutospacing="1" w:after="100" w:afterAutospacing="1"/>
    </w:pPr>
  </w:style>
  <w:style w:type="character" w:styleId="692">
    <w:name w:val="Emphasis"/>
    <w:basedOn w:val="684"/>
    <w:uiPriority w:val="20"/>
    <w:qFormat/>
    <w:rPr>
      <w:i/>
      <w:iCs/>
    </w:rPr>
  </w:style>
  <w:style w:type="character" w:styleId="693">
    <w:name w:val="Hyperlink"/>
    <w:basedOn w:val="684"/>
    <w:uiPriority w:val="99"/>
    <w:semiHidden/>
    <w:unhideWhenUsed/>
    <w:rPr>
      <w:color w:val="0000ff"/>
      <w:u w:val="single"/>
    </w:rPr>
  </w:style>
  <w:style w:type="paragraph" w:styleId="694" w:customStyle="1">
    <w:name w:val="s_37"/>
    <w:basedOn w:val="682"/>
    <w:pPr>
      <w:spacing w:before="100" w:beforeAutospacing="1" w:after="100" w:afterAutospacing="1"/>
    </w:pPr>
  </w:style>
  <w:style w:type="paragraph" w:styleId="695" w:customStyle="1">
    <w:name w:val="s_9"/>
    <w:basedOn w:val="682"/>
    <w:pPr>
      <w:spacing w:before="100" w:beforeAutospacing="1" w:after="100" w:afterAutospacing="1"/>
    </w:pPr>
  </w:style>
  <w:style w:type="paragraph" w:styleId="696">
    <w:name w:val="Body Text Indent"/>
    <w:basedOn w:val="682"/>
    <w:link w:val="697"/>
    <w:pPr>
      <w:ind w:left="705"/>
      <w:jc w:val="both"/>
    </w:pPr>
    <w:rPr>
      <w:sz w:val="28"/>
      <w:szCs w:val="20"/>
      <w:lang w:eastAsia="ar-SA"/>
    </w:rPr>
  </w:style>
  <w:style w:type="character" w:styleId="697" w:customStyle="1">
    <w:name w:val="Основной текст с отступом Знак"/>
    <w:basedOn w:val="684"/>
    <w:link w:val="696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698">
    <w:name w:val="Body Text"/>
    <w:basedOn w:val="682"/>
    <w:link w:val="699"/>
    <w:uiPriority w:val="99"/>
    <w:semiHidden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699" w:customStyle="1">
    <w:name w:val="Основной текст Знак"/>
    <w:basedOn w:val="684"/>
    <w:link w:val="698"/>
    <w:uiPriority w:val="99"/>
    <w:semiHidden/>
    <w:rPr>
      <w:rFonts w:ascii="Calibri" w:hAnsi="Calibri" w:eastAsia="Times New Roman" w:cs="Times New Roman"/>
      <w:lang w:eastAsia="ru-RU"/>
    </w:rPr>
  </w:style>
  <w:style w:type="paragraph" w:styleId="700">
    <w:name w:val="List Paragraph"/>
    <w:basedOn w:val="682"/>
    <w:uiPriority w:val="34"/>
    <w:qFormat/>
    <w:pPr>
      <w:contextualSpacing/>
      <w:ind w:left="720"/>
    </w:pPr>
  </w:style>
  <w:style w:type="paragraph" w:styleId="701">
    <w:name w:val="Body Text 2"/>
    <w:basedOn w:val="682"/>
    <w:link w:val="702"/>
    <w:uiPriority w:val="99"/>
    <w:semiHidden/>
    <w:unhideWhenUsed/>
    <w:pPr>
      <w:spacing w:after="120" w:line="480" w:lineRule="auto"/>
    </w:pPr>
  </w:style>
  <w:style w:type="character" w:styleId="702" w:customStyle="1">
    <w:name w:val="Основной текст 2 Знак"/>
    <w:basedOn w:val="684"/>
    <w:link w:val="7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3">
    <w:name w:val="Header"/>
    <w:basedOn w:val="682"/>
    <w:link w:val="704"/>
    <w:uiPriority w:val="99"/>
    <w:pPr>
      <w:tabs>
        <w:tab w:val="center" w:pos="4677" w:leader="none"/>
        <w:tab w:val="right" w:pos="9355" w:leader="none"/>
      </w:tabs>
    </w:pPr>
    <w:rPr>
      <w:rFonts w:ascii="Arial" w:hAnsi="Arial"/>
      <w:sz w:val="18"/>
      <w:szCs w:val="20"/>
    </w:rPr>
  </w:style>
  <w:style w:type="character" w:styleId="704" w:customStyle="1">
    <w:name w:val="Верхний колонтитул Знак"/>
    <w:basedOn w:val="684"/>
    <w:link w:val="703"/>
    <w:uiPriority w:val="99"/>
    <w:rPr>
      <w:rFonts w:ascii="Arial" w:hAnsi="Arial" w:eastAsia="Times New Roman" w:cs="Times New Roman"/>
      <w:sz w:val="18"/>
      <w:szCs w:val="20"/>
      <w:lang w:eastAsia="ru-RU"/>
    </w:rPr>
  </w:style>
  <w:style w:type="table" w:styleId="705">
    <w:name w:val="Table Grid"/>
    <w:basedOn w:val="68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6" w:customStyle="1">
    <w:name w:val="Основной текст (2)_"/>
    <w:basedOn w:val="684"/>
    <w:link w:val="707"/>
    <w:rPr>
      <w:sz w:val="28"/>
      <w:szCs w:val="28"/>
      <w:shd w:val="clear" w:color="auto" w:fill="ffffff"/>
    </w:rPr>
  </w:style>
  <w:style w:type="paragraph" w:styleId="707" w:customStyle="1">
    <w:name w:val="Основной текст (2)"/>
    <w:basedOn w:val="682"/>
    <w:link w:val="706"/>
    <w:pPr>
      <w:spacing w:after="760" w:line="322" w:lineRule="exact"/>
      <w:shd w:val="clear" w:color="auto" w:fill="ffffff"/>
      <w:widowControl w:val="off"/>
    </w:pPr>
    <w:rPr>
      <w:rFonts w:asciiTheme="minorHAnsi" w:hAnsiTheme="minorHAnsi" w:eastAsiaTheme="minorHAnsi" w:cstheme="minorBidi"/>
      <w:sz w:val="28"/>
      <w:szCs w:val="28"/>
      <w:lang w:eastAsia="en-US"/>
    </w:rPr>
  </w:style>
  <w:style w:type="character" w:styleId="708" w:customStyle="1">
    <w:name w:val="Основной текст (2) + 9;5 pt"/>
    <w:basedOn w:val="706"/>
    <w:rPr>
      <w:b w:val="0"/>
      <w:bCs w:val="0"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oks-3</dc:creator>
  <cp:keywords/>
  <dc:description/>
  <cp:lastModifiedBy>admin</cp:lastModifiedBy>
  <cp:revision>11</cp:revision>
  <dcterms:created xsi:type="dcterms:W3CDTF">2025-03-26T08:03:00Z</dcterms:created>
  <dcterms:modified xsi:type="dcterms:W3CDTF">2026-02-17T12:34:29Z</dcterms:modified>
</cp:coreProperties>
</file>