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73" w:rsidRDefault="00481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26573" w:rsidRDefault="00481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926573" w:rsidRDefault="00481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926573" w:rsidRDefault="00926573">
      <w:pPr>
        <w:jc w:val="center"/>
        <w:rPr>
          <w:b/>
          <w:sz w:val="28"/>
          <w:szCs w:val="28"/>
        </w:rPr>
      </w:pPr>
    </w:p>
    <w:p w:rsidR="00926573" w:rsidRDefault="00481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26573" w:rsidRDefault="00926573">
      <w:pPr>
        <w:jc w:val="center"/>
        <w:rPr>
          <w:sz w:val="28"/>
          <w:szCs w:val="28"/>
        </w:rPr>
      </w:pPr>
    </w:p>
    <w:p w:rsidR="00926573" w:rsidRDefault="00481D70">
      <w:pPr>
        <w:pStyle w:val="afa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E21B1F">
        <w:rPr>
          <w:sz w:val="28"/>
          <w:szCs w:val="28"/>
        </w:rPr>
        <w:t>26.03.2026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21B1F">
        <w:rPr>
          <w:sz w:val="28"/>
          <w:szCs w:val="28"/>
        </w:rPr>
        <w:t>369</w:t>
      </w:r>
    </w:p>
    <w:p w:rsidR="00926573" w:rsidRDefault="00926573">
      <w:pPr>
        <w:jc w:val="center"/>
        <w:outlineLvl w:val="0"/>
        <w:rPr>
          <w:b/>
          <w:sz w:val="28"/>
          <w:szCs w:val="28"/>
        </w:rPr>
      </w:pPr>
    </w:p>
    <w:p w:rsidR="00926573" w:rsidRDefault="00481D70">
      <w:pPr>
        <w:jc w:val="center"/>
        <w:outlineLvl w:val="0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926573" w:rsidRDefault="00481D70">
      <w:pPr>
        <w:pStyle w:val="af4"/>
        <w:spacing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Развитие въездного и внутреннего туризма в Бутурлинском муниципальном округе Нижегородской области</w:t>
      </w:r>
      <w:r>
        <w:rPr>
          <w:b/>
          <w:color w:val="000000"/>
          <w:sz w:val="28"/>
          <w:szCs w:val="28"/>
        </w:rPr>
        <w:t>», утвержденную постановлением администрации Бутурлинского муниципального района Нижегородской области от 01 октября 2020 г. № 922</w:t>
      </w:r>
    </w:p>
    <w:bookmarkEnd w:id="0"/>
    <w:p w:rsidR="00926573" w:rsidRDefault="00926573">
      <w:pPr>
        <w:spacing w:line="360" w:lineRule="auto"/>
        <w:jc w:val="both"/>
        <w:rPr>
          <w:sz w:val="27"/>
          <w:szCs w:val="27"/>
        </w:rPr>
      </w:pPr>
    </w:p>
    <w:p w:rsidR="00926573" w:rsidRDefault="00481D7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 </w:t>
      </w:r>
      <w:r>
        <w:rPr>
          <w:sz w:val="28"/>
          <w:szCs w:val="28"/>
          <w:shd w:val="clear" w:color="auto" w:fill="FFFFFF"/>
        </w:rPr>
        <w:t>постановлением администрации Бутурлинского муниципального района Нижегородской области от 14 мая 2014 года № 440 «Об утверждении Порядка  разработки, реализации и оценки эффективности муниципальных программ Бутурлинского муниципального района»,</w:t>
      </w:r>
      <w:r>
        <w:rPr>
          <w:sz w:val="28"/>
          <w:szCs w:val="28"/>
        </w:rPr>
        <w:t xml:space="preserve"> на основании решения Совета депутатов Бутурлинского муниципального округа Нижегородской области от 25 декабря 2025 года №89 «О бюджете Бутурлинского муниципального округа Нижегородской области на 2026 год и на плановый период 2027 и 2028 годов», администрация Бутурлинского муниципально</w:t>
      </w:r>
      <w:r w:rsidR="00E21B1F">
        <w:rPr>
          <w:sz w:val="28"/>
          <w:szCs w:val="28"/>
        </w:rPr>
        <w:t>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926573" w:rsidRDefault="00481D70">
      <w:pPr>
        <w:pStyle w:val="afd"/>
        <w:spacing w:after="0" w:line="360" w:lineRule="auto"/>
        <w:ind w:left="0"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>Изложить муниципальную программу «Развитие въездного и внутреннего туризма в Бутурлинском муниципальном округе Нижегородской области», утвержденную постановлением администрации Бутурлинского муниципального района Нижегородской области от 01 октября 2020 г. № 922 «Об утверждении муниципальной программы «Развитие въездного и внутреннего туризма в Бутурлинском муниципальном округе Нижегородской области», в новой редакции согласно приложению к настоящему постановлению.</w:t>
      </w:r>
    </w:p>
    <w:p w:rsidR="00926573" w:rsidRDefault="00481D70">
      <w:pPr>
        <w:pStyle w:val="afd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Организационно-правовому управлению администрации Бутурлинского муниципального округа Нижегородской области опубликовать настоящее постановление в порядке, определенном Уставом Бутурлинского муниципального округа Нижегородской области для официального </w:t>
      </w:r>
      <w:r>
        <w:rPr>
          <w:sz w:val="28"/>
          <w:szCs w:val="28"/>
        </w:rPr>
        <w:lastRenderedPageBreak/>
        <w:t xml:space="preserve">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</w:t>
      </w:r>
      <w:hyperlink r:id="rId7" w:tooltip="https://buturlino.nobl.ru" w:history="1">
        <w:r>
          <w:rPr>
            <w:rStyle w:val="aff"/>
            <w:sz w:val="28"/>
            <w:szCs w:val="28"/>
          </w:rPr>
          <w:t>https://buturlino.</w:t>
        </w:r>
        <w:r>
          <w:rPr>
            <w:rStyle w:val="aff"/>
            <w:sz w:val="28"/>
            <w:szCs w:val="28"/>
            <w:lang w:val="en-US"/>
          </w:rPr>
          <w:t>nobl</w:t>
        </w:r>
        <w:r>
          <w:rPr>
            <w:rStyle w:val="aff"/>
            <w:sz w:val="28"/>
            <w:szCs w:val="28"/>
          </w:rPr>
          <w:t>.ru</w:t>
        </w:r>
      </w:hyperlink>
      <w:r>
        <w:rPr>
          <w:sz w:val="28"/>
          <w:szCs w:val="28"/>
        </w:rPr>
        <w:t>.</w:t>
      </w:r>
    </w:p>
    <w:p w:rsidR="00926573" w:rsidRDefault="00481D70">
      <w:pPr>
        <w:pStyle w:val="afd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926573" w:rsidRDefault="00481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  за   исполнением    настоящего    постановления   оставляю за собой.</w:t>
      </w:r>
    </w:p>
    <w:p w:rsidR="00926573" w:rsidRDefault="00926573">
      <w:pPr>
        <w:pStyle w:val="afd"/>
        <w:spacing w:after="0" w:line="360" w:lineRule="auto"/>
        <w:ind w:left="0"/>
        <w:jc w:val="both"/>
        <w:rPr>
          <w:sz w:val="28"/>
          <w:szCs w:val="28"/>
        </w:rPr>
      </w:pPr>
    </w:p>
    <w:p w:rsidR="00926573" w:rsidRDefault="00481D70">
      <w:pPr>
        <w:pStyle w:val="af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 w:rsidR="00E21B1F">
        <w:rPr>
          <w:sz w:val="28"/>
          <w:szCs w:val="28"/>
        </w:rPr>
        <w:tab/>
      </w:r>
      <w:r>
        <w:rPr>
          <w:sz w:val="28"/>
          <w:szCs w:val="28"/>
        </w:rPr>
        <w:t>М.Ф. Петрова</w:t>
      </w:r>
    </w:p>
    <w:p w:rsidR="00926573" w:rsidRDefault="00481D7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926573" w:rsidRDefault="00481D70">
      <w:pPr>
        <w:jc w:val="right"/>
        <w:rPr>
          <w:szCs w:val="24"/>
        </w:rPr>
      </w:pPr>
      <w:r>
        <w:rPr>
          <w:szCs w:val="24"/>
        </w:rPr>
        <w:lastRenderedPageBreak/>
        <w:t xml:space="preserve">Утверждена </w:t>
      </w:r>
    </w:p>
    <w:p w:rsidR="00926573" w:rsidRDefault="00481D70">
      <w:pPr>
        <w:jc w:val="right"/>
        <w:rPr>
          <w:szCs w:val="24"/>
        </w:rPr>
      </w:pPr>
      <w:r>
        <w:rPr>
          <w:szCs w:val="24"/>
        </w:rPr>
        <w:t xml:space="preserve">постановлением администрации </w:t>
      </w:r>
    </w:p>
    <w:p w:rsidR="00926573" w:rsidRDefault="00481D70">
      <w:pPr>
        <w:jc w:val="right"/>
      </w:pPr>
      <w:r>
        <w:rPr>
          <w:szCs w:val="24"/>
        </w:rPr>
        <w:t xml:space="preserve">Бутурлинского муниципального округа </w:t>
      </w:r>
    </w:p>
    <w:p w:rsidR="00926573" w:rsidRDefault="00481D70">
      <w:pPr>
        <w:jc w:val="right"/>
      </w:pPr>
      <w:r>
        <w:rPr>
          <w:szCs w:val="24"/>
        </w:rPr>
        <w:t>Нижегородской области</w:t>
      </w:r>
    </w:p>
    <w:p w:rsidR="00926573" w:rsidRDefault="00481D70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E21B1F">
        <w:rPr>
          <w:szCs w:val="24"/>
        </w:rPr>
        <w:t xml:space="preserve">26.03.2026 </w:t>
      </w:r>
      <w:r>
        <w:rPr>
          <w:szCs w:val="24"/>
        </w:rPr>
        <w:t>№</w:t>
      </w:r>
      <w:r w:rsidR="00E21B1F">
        <w:rPr>
          <w:szCs w:val="24"/>
        </w:rPr>
        <w:t>369</w:t>
      </w:r>
    </w:p>
    <w:p w:rsidR="00926573" w:rsidRDefault="00926573">
      <w:pPr>
        <w:pStyle w:val="14"/>
        <w:rPr>
          <w:b w:val="0"/>
          <w:i w:val="0"/>
          <w:szCs w:val="28"/>
        </w:rPr>
      </w:pPr>
    </w:p>
    <w:p w:rsidR="00926573" w:rsidRDefault="00481D70">
      <w:pPr>
        <w:pStyle w:val="14"/>
        <w:rPr>
          <w:i w:val="0"/>
          <w:szCs w:val="32"/>
        </w:rPr>
      </w:pPr>
      <w:r>
        <w:rPr>
          <w:i w:val="0"/>
          <w:szCs w:val="32"/>
        </w:rPr>
        <w:t>Муниципальная программа</w:t>
      </w:r>
    </w:p>
    <w:p w:rsidR="00926573" w:rsidRDefault="00481D70">
      <w:pPr>
        <w:pStyle w:val="1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въездного и внутреннего туризма </w:t>
      </w:r>
    </w:p>
    <w:p w:rsidR="00926573" w:rsidRDefault="00481D70">
      <w:pPr>
        <w:pStyle w:val="1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Бутурлинском муниципальном округе Нижегородской области»</w:t>
      </w:r>
    </w:p>
    <w:p w:rsidR="00926573" w:rsidRDefault="00481D70">
      <w:pPr>
        <w:pStyle w:val="13"/>
        <w:spacing w:after="0"/>
        <w:jc w:val="center"/>
        <w:rPr>
          <w:b/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  <w:sz w:val="28"/>
          <w:szCs w:val="28"/>
        </w:rPr>
        <w:t>(далее - Программа)</w:t>
      </w:r>
    </w:p>
    <w:p w:rsidR="00926573" w:rsidRDefault="00481D70">
      <w:pPr>
        <w:pStyle w:val="14"/>
        <w:rPr>
          <w:i w:val="0"/>
        </w:rPr>
      </w:pPr>
      <w:r>
        <w:rPr>
          <w:i w:val="0"/>
          <w:lang w:val="en-US"/>
        </w:rPr>
        <w:t>I</w:t>
      </w:r>
      <w:r>
        <w:rPr>
          <w:i w:val="0"/>
        </w:rPr>
        <w:t>. Паспорт Программы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923"/>
      </w:tblGrid>
      <w:tr w:rsidR="00926573">
        <w:tc>
          <w:tcPr>
            <w:tcW w:w="3085" w:type="dxa"/>
          </w:tcPr>
          <w:p w:rsidR="00926573" w:rsidRDefault="00481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заказчик-координатор Программы</w:t>
            </w:r>
          </w:p>
        </w:tc>
        <w:tc>
          <w:tcPr>
            <w:tcW w:w="6923" w:type="dxa"/>
          </w:tcPr>
          <w:p w:rsidR="00926573" w:rsidRDefault="00481D70">
            <w:pPr>
              <w:pStyle w:val="14"/>
              <w:ind w:firstLine="515"/>
              <w:jc w:val="both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>Администрация Бутурлинского муниципального округа Нижегородской области</w:t>
            </w:r>
          </w:p>
        </w:tc>
      </w:tr>
      <w:tr w:rsidR="00926573">
        <w:tc>
          <w:tcPr>
            <w:tcW w:w="3085" w:type="dxa"/>
          </w:tcPr>
          <w:p w:rsidR="00926573" w:rsidRDefault="00481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Программы</w:t>
            </w:r>
          </w:p>
          <w:p w:rsidR="00926573" w:rsidRDefault="00926573">
            <w:pPr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926573" w:rsidRDefault="00481D70">
            <w:pPr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Бутурлинского муниципального округа Нижегородской области «Центр досуга, ремесел и туризма».</w:t>
            </w:r>
          </w:p>
        </w:tc>
      </w:tr>
      <w:tr w:rsidR="00926573">
        <w:tc>
          <w:tcPr>
            <w:tcW w:w="3085" w:type="dxa"/>
          </w:tcPr>
          <w:p w:rsidR="00926573" w:rsidRDefault="00481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923" w:type="dxa"/>
          </w:tcPr>
          <w:p w:rsidR="00926573" w:rsidRDefault="00481D70">
            <w:pPr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развитие в Бутурлинском муниципальном округе сферы туризма, способствующей социально-экономическому развитию округа, удовлетворению потребностей граждан   в   активном   и   полноценном досуге и отдыхе, укреплению здоровья,  приобщению  к культурным и историческим ценностям.</w:t>
            </w:r>
          </w:p>
        </w:tc>
      </w:tr>
      <w:tr w:rsidR="00926573">
        <w:tc>
          <w:tcPr>
            <w:tcW w:w="3085" w:type="dxa"/>
          </w:tcPr>
          <w:p w:rsidR="00926573" w:rsidRDefault="00481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23" w:type="dxa"/>
          </w:tcPr>
          <w:p w:rsidR="00926573" w:rsidRDefault="00481D70">
            <w:pPr>
              <w:tabs>
                <w:tab w:val="left" w:pos="0"/>
              </w:tabs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 и реклама туристического потенциала Бутурлинского муниципального округа.</w:t>
            </w:r>
          </w:p>
          <w:p w:rsidR="00926573" w:rsidRDefault="00481D70">
            <w:pPr>
              <w:tabs>
                <w:tab w:val="left" w:pos="335"/>
              </w:tabs>
              <w:spacing w:line="240" w:lineRule="atLeast"/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конкурентоспособного турпродукта, участие выставках, форумах в сфере туризма, организация работы кружков, студий, клубов декоративно-прикладного творчества, создание экспозиций популяризирующих историко-культурное и природное наследие Бутурлинского муниципального округа, формирование базы данных потенциальных участников туристических программ из числа жителей Бутурлинского муниципального округа и включение их к предоставлению услуг в сфере туризма.</w:t>
            </w:r>
          </w:p>
          <w:p w:rsidR="00926573" w:rsidRDefault="00481D70">
            <w:pPr>
              <w:tabs>
                <w:tab w:val="left" w:pos="335"/>
              </w:tabs>
              <w:spacing w:line="240" w:lineRule="atLeast"/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переподготовка кадров, повышение  квалификации кадров в сфере туриндустрии, досуга, декоративно-прикладного творчества, промыслов и ремесел.</w:t>
            </w:r>
          </w:p>
        </w:tc>
      </w:tr>
      <w:tr w:rsidR="00926573">
        <w:tc>
          <w:tcPr>
            <w:tcW w:w="3085" w:type="dxa"/>
            <w:tcBorders>
              <w:bottom w:val="single" w:sz="4" w:space="0" w:color="000000"/>
            </w:tcBorders>
          </w:tcPr>
          <w:p w:rsidR="00926573" w:rsidRDefault="00481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6923" w:type="dxa"/>
            <w:tcBorders>
              <w:bottom w:val="single" w:sz="4" w:space="0" w:color="000000"/>
            </w:tcBorders>
          </w:tcPr>
          <w:p w:rsidR="00926573" w:rsidRDefault="00481D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2021 - 2028 годы</w:t>
            </w:r>
          </w:p>
          <w:p w:rsidR="00926573" w:rsidRDefault="00481D7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один этап</w:t>
            </w:r>
          </w:p>
        </w:tc>
      </w:tr>
      <w:tr w:rsidR="00926573"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программы за счет средств бюджета </w:t>
            </w:r>
          </w:p>
          <w:p w:rsidR="00926573" w:rsidRDefault="00926573">
            <w:pPr>
              <w:pStyle w:val="1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23" w:type="dxa"/>
            <w:tcBorders>
              <w:left w:val="single" w:sz="4" w:space="0" w:color="000000"/>
            </w:tcBorders>
          </w:tcPr>
          <w:p w:rsidR="00926573" w:rsidRDefault="00481D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– 292 245,5 тыс. рублей, в том числе по годам реализации:</w:t>
            </w:r>
          </w:p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3124"/>
            </w:tblGrid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2021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3 226,2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2022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34 329,7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2023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36 874,0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2024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37 918,9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35 959,9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42 103,9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40 407,2 тыс. рублей</w:t>
                  </w:r>
                </w:p>
              </w:tc>
            </w:tr>
            <w:tr w:rsidR="00926573">
              <w:trPr>
                <w:trHeight w:val="336"/>
              </w:trPr>
              <w:tc>
                <w:tcPr>
                  <w:tcW w:w="15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2028 год</w:t>
                  </w:r>
                </w:p>
              </w:tc>
              <w:tc>
                <w:tcPr>
                  <w:tcW w:w="312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926573" w:rsidRDefault="00481D70">
                  <w:pPr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41 425,7 тыс. рублей</w:t>
                  </w:r>
                </w:p>
              </w:tc>
            </w:tr>
          </w:tbl>
          <w:p w:rsidR="00926573" w:rsidRDefault="00926573">
            <w:pPr>
              <w:rPr>
                <w:sz w:val="28"/>
                <w:szCs w:val="28"/>
              </w:rPr>
            </w:pPr>
          </w:p>
        </w:tc>
      </w:tr>
    </w:tbl>
    <w:p w:rsidR="00926573" w:rsidRDefault="00926573"/>
    <w:p w:rsidR="00926573" w:rsidRDefault="00481D70">
      <w:pPr>
        <w:jc w:val="center"/>
        <w:rPr>
          <w:b/>
        </w:rPr>
      </w:pPr>
      <w:r>
        <w:rPr>
          <w:rStyle w:val="docdatadocyv51698bqiaagaaeyqcaaagiaiaaaodawaabasdaaaaaaaaaaaaaaaaaaaaaaaaaaaaaaaaaaaaaaaaaaaaaaaaaaaaaaaaaaaaaaaaaaaaaaaaaaaaaaaaaaaaaaaaaaaaaaaaaaaaaaaaaaaaaaaaaaaaaaaaaaaaaaaaaaaaaaaaaaaaaaaaaaaaaaaaaaaaaaaaaaaaaaaaaaaaaaaaaaaaaaaaaaaaaaaaaaaaaaaa"/>
          <w:b/>
          <w:color w:val="000000"/>
        </w:rPr>
        <w:t>Индикаторы достижения цели и показатели непосредственных результатов</w:t>
      </w:r>
    </w:p>
    <w:p w:rsidR="00926573" w:rsidRDefault="00926573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56"/>
        <w:gridCol w:w="162"/>
        <w:gridCol w:w="2106"/>
        <w:gridCol w:w="76"/>
        <w:gridCol w:w="1053"/>
        <w:gridCol w:w="709"/>
        <w:gridCol w:w="709"/>
        <w:gridCol w:w="703"/>
        <w:gridCol w:w="714"/>
        <w:gridCol w:w="704"/>
        <w:gridCol w:w="708"/>
        <w:gridCol w:w="714"/>
        <w:gridCol w:w="817"/>
      </w:tblGrid>
      <w:tr w:rsidR="00926573">
        <w:trPr>
          <w:trHeight w:val="31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N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Ед.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Значение индикатора/непосредственного результата</w:t>
            </w:r>
          </w:p>
        </w:tc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6573">
        <w:trPr>
          <w:trHeight w:val="61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 год</w:t>
            </w:r>
          </w:p>
        </w:tc>
        <w:tc>
          <w:tcPr>
            <w:tcW w:w="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 год</w:t>
            </w:r>
          </w:p>
        </w:tc>
        <w:tc>
          <w:tcPr>
            <w:tcW w:w="7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2026 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2027 год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2028</w:t>
            </w:r>
          </w:p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год</w:t>
            </w:r>
          </w:p>
        </w:tc>
      </w:tr>
      <w:tr w:rsidR="00926573">
        <w:trPr>
          <w:trHeight w:val="315"/>
        </w:trPr>
        <w:tc>
          <w:tcPr>
            <w:tcW w:w="85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11</w:t>
            </w:r>
          </w:p>
        </w:tc>
      </w:tr>
      <w:tr w:rsidR="00926573">
        <w:trPr>
          <w:trHeight w:val="470"/>
        </w:trPr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Муниципальная программа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both"/>
              <w:rPr>
                <w:color w:val="000000"/>
                <w:szCs w:val="24"/>
                <w:lang w:eastAsia="ru-RU"/>
              </w:rPr>
            </w:pPr>
          </w:p>
        </w:tc>
      </w:tr>
      <w:tr w:rsidR="00926573">
        <w:trPr>
          <w:trHeight w:val="1978"/>
        </w:trPr>
        <w:tc>
          <w:tcPr>
            <w:tcW w:w="1018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Индикатор 1. Увеличение количества выставочных проектов, осуществляемых в районе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% по отношению к 2013 году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</w:tr>
      <w:tr w:rsidR="00926573">
        <w:trPr>
          <w:trHeight w:val="1695"/>
        </w:trPr>
        <w:tc>
          <w:tcPr>
            <w:tcW w:w="1018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Непосредственный результат 1.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Увеличение количества туристических маршрутов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</w:tr>
      <w:tr w:rsidR="00926573">
        <w:trPr>
          <w:trHeight w:val="1266"/>
        </w:trPr>
        <w:tc>
          <w:tcPr>
            <w:tcW w:w="1018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Непосредственный результат 2. Увеличение количества объектов показа</w:t>
            </w: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</w:tr>
    </w:tbl>
    <w:p w:rsidR="00926573" w:rsidRDefault="00926573"/>
    <w:p w:rsidR="00926573" w:rsidRDefault="00481D7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Текстовая часть программы</w:t>
      </w:r>
    </w:p>
    <w:p w:rsidR="00926573" w:rsidRDefault="00481D7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ab/>
        <w:t>Характеристика текущего состояния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туризмом согласно действующему законодательству Российской Федерации понимаются временные выезды (путешествия) граждан Российской Федерации, иностранных граждан и лиц без гражданства с постоянным местом жительства в оздоровительных, познавательных, профессионально-деловых, спортивных, религиозных и иных целях без занятия оплачиваемой деятельностью в стране (месте) временного пребывания.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туристской индустрией понимается совокупность гостиниц и иных средств размещения, средств транспорта, объектов общественного питания, объектов и средств развлечения, объектов познавательного, делового, оздоровительного, спортивного и иного назначения, организаций, осуществляющих туроператорскую и турагентскую деятельность, а также организаций, предоставляющих экскурсионные услуги и услуги гидов-переводчиков. К туристским ресурсам относятся: природные, исторические, социально-культурные объекты, включающие объекты туристского показа,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иные объекты, способные удовлетворить духовные потребности туристов, содействовать восстановлению и развитию их физических сил.</w:t>
      </w:r>
    </w:p>
    <w:p w:rsidR="00926573" w:rsidRDefault="00481D7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Программа направлена на обеспечение мер организационной и финансовой поддержки туристической деятельности в Бутурлинском муниципальном округе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формирования и развития в Бутурлинском муниципальном округе конкурентоспособной туристской индустрии, способствующей социально-экономическому развитию Бутурлинского муниципального округа,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удовлетворению потребностей граждан   в   активном   и   полноценном   отдыхе, укреплению здоровья,  приобщению  к  культурным и историческим ценностям.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разработки и принятия программы «Развитие въездного и внутреннего  туризма в Бутурлинском муниципальном округе» обусловлена общероссийскими тенденциями развития отрасли «туризм». Современная туристская индустрия является одной из крупнейших высокодоходных и наиболее динамично развивающихся отраслей мирового хозяйства. Причиной столь успешного развития отрасли является социально-экономический эффект, получаемый в результате развития туризма.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Бутурлинский муниципальный округ располагает достаточным туристическим ресурсом.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Бутурлинского края уходит корнями в далекое прошлое. В середине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века, после удачно завершенного похода русских войск на Казань, царь Иван Грозный жаловал земли по реке Пьяне своему соратнику- боярину Ф.И.Бутурлину. На своих землях Бутурлин отстроил село (заложено в 1552 году).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письменные упоминания о людях Припьянья относятся к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веку: Готский историк упоминает страну Мордию.      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в.в. проходит мирное заселение Мордовских земель славянами,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веке наблюдается дальнейший уход мордвы с Бутурлинских земель, связанный с усилением гнета и принудительной христианизацией. От них остаются лишь названия некоторых сел – Большие Бакалды (яма), Вергизай (волчье место) и проч. В топонимике Бутурлинского края встречаются не только мордовские названия, но и  марийские, и татарские. 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историей края связаны имена известных в русской истории лиц: воеводы боярина Б.И.Морозова, воспитателя царя Алексея Михайловича; адмирала Р.М.Апраксина, соратника Петра Первого, первого кавалера ордена Андрея Первозванного; отца и сыновей Каменских, знаменитых полководцев, соратников А.В.Суворова; декабриста И.А. Анненкова; художника И.Е. Репина, посетившего имение помещиков Званцевых в селе Тарталей и других.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Бутурлинский муниципальный округ перспективен для разных видов туризма: событийного, культурно-познавательного, экологического, охоты и рыбалки. 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Проживание на территории Бутурлинского муниципального округа разных национальностей (русские, мордва, татары и др.), и таких уникальных этнокультурных особенностей, как старообрядничество, может стать базой для развития этнографического туризма (село Кетрось, бывшее владение князей Гагариных, где жили старообрядцы).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Интересен в культурно-познавательном плане муниципальное бюджетное учреждение культуры Бутурлинского района Нижегородской области «Бутурлинский историко-краеведческий музей» (здание музея построено в конце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века), который насчитывает около 10 экспозиций, рассказывающих об истории Бутурлинского края со времен первобытного человека до наших дней.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Бутурлинский край изначально был богат ремесленными традициями. Одни из самых ранних - бондарный и рогожный промыслы. Позже появились плотники, гончары, кузнецы, каменщики и прочие. До наших дней дошли резьба по камню, лозоплетение, резьба по дереву.</w:t>
      </w:r>
    </w:p>
    <w:p w:rsidR="00926573" w:rsidRDefault="00481D70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округа расположены объекты – памятники историко-культурного наследия, представляющие интерес для туристов.</w:t>
      </w:r>
    </w:p>
    <w:p w:rsidR="00926573" w:rsidRDefault="00481D70">
      <w:pPr>
        <w:pStyle w:val="21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интерес как уникальнейшее природное явление  представляет карстовая пещера в с. Борнуково. Это одна из четырех подобных пещер, расположенных на территории России, которая может использоваться в качестве экскурсионно-туристического объекта. </w:t>
      </w:r>
    </w:p>
    <w:p w:rsidR="00926573" w:rsidRDefault="00481D70">
      <w:pPr>
        <w:pStyle w:val="211"/>
        <w:spacing w:after="0" w:line="240" w:lineRule="auto"/>
        <w:ind w:left="0" w:right="-5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Месторасположение Бутурлинского округа очень выгодно: относительная отдаленность от областного центра, наличие автотранспортного и железнодорожного сообщения  делают возможным посещение Бутурлинского округа, как самостоятельного объекта показа, так и промежуточного на пути в Большое Болдино.   Кроме того, территория Бутурлинского округа расположена в климатической зоне, которая исключает природные катаклизмы, что делает Бутурлинский округ привлекательным для посещения как в летний, так и в зимний период.</w:t>
      </w:r>
    </w:p>
    <w:p w:rsidR="00926573" w:rsidRDefault="00481D70">
      <w:pPr>
        <w:pStyle w:val="211"/>
        <w:spacing w:after="0" w:line="240" w:lineRule="auto"/>
        <w:ind w:left="0" w:right="-58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наиболее интересен Бутурлинский округ для развития событийного туризма. Одним из самых ярких проектов этого направления является Всероссийский конкурс исполнителей народной песни «Вишневая метель» памяти Л.Г. Зыкиной.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Комплектование фондов музея народной куклы</w:t>
      </w:r>
      <w:r>
        <w:rPr>
          <w:sz w:val="28"/>
          <w:szCs w:val="28"/>
        </w:rPr>
        <w:t xml:space="preserve"> будет осуществляться посредством создания реконструкций народных кукол, организации деятельности творческой студии «Радуница»,  дарения и результатов этнографических экспедиций.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Посетители смогут познакомиться с музеем посредством проведения тематических экскурсий, викторин, различных акций и мероприятий, кукольных спектаклей, мастер-классов, конкурсов, выставок. 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 дошкольных учреждений района будут организованы регулярные выездные  занятия, в ходе которых они смогут познакомиться с историей народного быта, обычаев и верований через куклу, а также получат начальные трудовые навыки при самостоятельном изготовлении подобных кукол.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рекламы туристического потенциала Бутурлинского округа в 2016 году выпущены буклеты «Творческая площадка 2016» и «Праздник цветущей вишни», ведется работа над выпуском нового буклета «Мастер-классы». Налаживаются связи с другими районами Нижегородской области, такими как Болдинский, Арзамасский, Сосновский, Спасский, в мероприятиях которых мастера творческих студий Бутурлинского округа принимают активное участие. В целях пропаганды туристического потенциала района </w:t>
      </w:r>
      <w:r>
        <w:rPr>
          <w:sz w:val="28"/>
          <w:szCs w:val="28"/>
        </w:rPr>
        <w:lastRenderedPageBreak/>
        <w:t xml:space="preserve">специалисты Центра досуга, ремесел и туризма сотрудничают с представителями СМИ, которые в 2016 году были постоянными гостями нашего края, что нашло отражение в публикациях различных изданий – газетах и журналах областного значения. 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туристических событиях регулярно размещается на сайте отдела культуры управления делами администрации Бутурлинского муниципального округа. Центр досуга, ремесел и туризма активно сотрудничает с Нижегородским туристко-информационным центром, на сайте которого регулярно размещается информация о событиях культурной жизни Бутурлинского округа. Налаживается работа и с туристическими фирмами Нижнего Новгорода и Дзержинска, но, к сожалению, это направление деятельности пока не дало существенных результатов. Подробный анализ и опрос потенциальных туристов показал, что туристический поток сдерживает отсутствие инфраструктуры в районе (в первую очередь отсутствие гостиницы). 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Бутурлинском муниципальном округе, несмотря на достаточный потенциал и новые творческие проекты Центра досуга, ремесел и туризма, туризм развит незначительно. Основными причинами сложившейся ситуации являются следующие: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маркетинговая политика по продвижению турпродукта (вся Нижегородская область долгое время была «закрытой», поэтому мало известна на рынке и недостаточно популярна);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 развитая материальная база туристской индустрии в Бутурлинском округе и неразвитая туристская инфраструктура;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малочисленность объектов показа;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квалифицированных специалистов в сфере туризма, досуга и активного отдыха, декоративно-прикладного творчества, ремесел.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Косвенным фактором, сдерживающим рост туристских потоков в Бутурлинский муниципальный округ, является конкуренция со стороны традиционных туристских районов Нижегородской области - Семеновского («Золотая хохлома»), Большеболдинского («Пушкинское Болдино»), Городецкого (деревянное зодчество), Балахнинского («Мининская слобода»), Дивеевского («Земля Серафима Саровского») и др. </w:t>
      </w:r>
    </w:p>
    <w:p w:rsidR="00926573" w:rsidRDefault="00481D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и развития в Бутурлинском округе сферы туризма, способствующей социально-экономическому развитию района,  разработана  настоящая программа.</w:t>
      </w:r>
    </w:p>
    <w:p w:rsidR="00926573" w:rsidRDefault="00926573">
      <w:pPr>
        <w:rPr>
          <w:b/>
          <w:sz w:val="28"/>
          <w:szCs w:val="28"/>
        </w:rPr>
      </w:pPr>
    </w:p>
    <w:p w:rsidR="00926573" w:rsidRDefault="00481D7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2.2. Цели, задачи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iCs/>
          <w:sz w:val="28"/>
          <w:szCs w:val="28"/>
        </w:rPr>
        <w:t>ель  программы:</w:t>
      </w:r>
      <w:r>
        <w:rPr>
          <w:sz w:val="28"/>
          <w:szCs w:val="28"/>
        </w:rPr>
        <w:t xml:space="preserve"> формирование и развитие в Бутурлинском муниципальном округе сферы туризма, способствующей социально-экономическому развитию района, удовлетворению потребностей граждан   в   активном   и   полноценном досуге и отдыхе, укреплению здоровья,  приобщению к культурным и историческим ценностям.</w:t>
      </w:r>
    </w:p>
    <w:p w:rsidR="00926573" w:rsidRDefault="00481D70">
      <w:pPr>
        <w:pStyle w:val="ConsPlusTitle"/>
        <w:widowControl/>
        <w:tabs>
          <w:tab w:val="left" w:pos="0"/>
        </w:tabs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Задачи программы:</w:t>
      </w:r>
    </w:p>
    <w:p w:rsidR="00926573" w:rsidRDefault="00481D70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маркетинг и реклама туристического потенциала Бутурлинского муниципального округа,</w:t>
      </w:r>
    </w:p>
    <w:p w:rsidR="00926573" w:rsidRDefault="00481D70">
      <w:pPr>
        <w:tabs>
          <w:tab w:val="left" w:pos="335"/>
        </w:tabs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конкурентоспособного турпродукта, участие выставках, форумах в сфере туризма, организация работы кружков, студий, клубов </w:t>
      </w:r>
      <w:r>
        <w:rPr>
          <w:sz w:val="28"/>
          <w:szCs w:val="28"/>
        </w:rPr>
        <w:lastRenderedPageBreak/>
        <w:t>декоративно-прикладного творчества, создание экспозиций популяризирующих историко-культурное и природное наследие Бутурлинского муниципального округа, формирование базы данных потенциальных участников туристических программ из числа жителей Бутурлинского муниципального округа и включение их к предоставлению услуг в сфере туризма,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переподготовка кадров, повышение  квалификации кадров в сфере туриндустрии, досуга, декоративно-прикладного творчества, промыслов и ремесел.</w:t>
      </w:r>
    </w:p>
    <w:p w:rsidR="00926573" w:rsidRDefault="00926573">
      <w:pPr>
        <w:ind w:firstLine="720"/>
        <w:rPr>
          <w:sz w:val="28"/>
          <w:szCs w:val="28"/>
        </w:rPr>
      </w:pPr>
    </w:p>
    <w:p w:rsidR="00926573" w:rsidRDefault="00481D7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2.3. Сроки и этапы реализации программы</w:t>
      </w:r>
    </w:p>
    <w:p w:rsidR="00926573" w:rsidRDefault="00481D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 один этап. </w:t>
      </w:r>
    </w:p>
    <w:p w:rsidR="00926573" w:rsidRDefault="00926573">
      <w:pPr>
        <w:jc w:val="both"/>
        <w:rPr>
          <w:b/>
          <w:szCs w:val="24"/>
        </w:rPr>
      </w:pPr>
    </w:p>
    <w:p w:rsidR="00926573" w:rsidRDefault="00926573">
      <w:pPr>
        <w:jc w:val="both"/>
        <w:rPr>
          <w:b/>
          <w:szCs w:val="24"/>
        </w:rPr>
        <w:sectPr w:rsidR="00926573" w:rsidSect="00E21B1F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26573" w:rsidRDefault="00481D7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lastRenderedPageBreak/>
        <w:t>2.4. Перечень основных мероприятий программы</w:t>
      </w:r>
    </w:p>
    <w:p w:rsidR="00926573" w:rsidRDefault="00926573">
      <w:pPr>
        <w:jc w:val="both"/>
        <w:rPr>
          <w:b/>
          <w:sz w:val="28"/>
        </w:rPr>
      </w:pPr>
    </w:p>
    <w:tbl>
      <w:tblPr>
        <w:tblW w:w="154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276"/>
        <w:gridCol w:w="992"/>
        <w:gridCol w:w="1276"/>
        <w:gridCol w:w="992"/>
        <w:gridCol w:w="992"/>
        <w:gridCol w:w="992"/>
        <w:gridCol w:w="993"/>
        <w:gridCol w:w="992"/>
        <w:gridCol w:w="992"/>
        <w:gridCol w:w="992"/>
        <w:gridCol w:w="1276"/>
      </w:tblGrid>
      <w:tr w:rsidR="00926573">
        <w:trPr>
          <w:trHeight w:val="37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Сроки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Объем финансирования</w:t>
            </w:r>
          </w:p>
        </w:tc>
      </w:tr>
      <w:tr w:rsidR="00926573">
        <w:trPr>
          <w:trHeight w:val="31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 годам) за счет средств муниципального бюджета</w:t>
            </w:r>
          </w:p>
        </w:tc>
      </w:tr>
      <w:tr w:rsidR="00926573">
        <w:trPr>
          <w:trHeight w:val="63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всего</w:t>
            </w:r>
          </w:p>
        </w:tc>
      </w:tr>
      <w:tr w:rsidR="00926573">
        <w:trPr>
          <w:trHeight w:val="720"/>
        </w:trPr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Муниципальная программа "Развитие въездного и внутреннего туризма в Бутурлинском муниципальном округе Нижегородской области"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24358,2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36209,2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36059,6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35100,0</w:t>
            </w:r>
          </w:p>
        </w:tc>
        <w:tc>
          <w:tcPr>
            <w:tcW w:w="9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35959,9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41957,7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40407,2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41425,7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26573" w:rsidRDefault="00481D7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291067,4</w:t>
            </w:r>
          </w:p>
          <w:p w:rsidR="00926573" w:rsidRDefault="0092657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926573">
        <w:trPr>
          <w:trHeight w:val="315"/>
        </w:trPr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Цель программы: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926573">
        <w:trPr>
          <w:trHeight w:val="1272"/>
        </w:trPr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формирование и развитие в Бутурлинском округе сферы туризма, способствующей социально-экономическому развитию округа, удовлетворению потребностей граждан   в   активном   и   полноценном досуге и отдыхе, укреплению здоровья,  приобщению  к культурным и историческим ценностям.</w:t>
            </w:r>
          </w:p>
        </w:tc>
        <w:tc>
          <w:tcPr>
            <w:tcW w:w="127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926573">
        <w:trPr>
          <w:trHeight w:val="983"/>
        </w:trPr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Основное мероприятие 1. Расходы на услугу по организации деятельности кружков, творческих коллективов, клубных формирований, организация и проведение различных культурно-досуговых мероприятий, экскурсионное обслуживание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24258,2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34417,8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35309,6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35050,0</w:t>
            </w:r>
          </w:p>
        </w:tc>
        <w:tc>
          <w:tcPr>
            <w:tcW w:w="9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35799,9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41907,7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40407,2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41375,7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288226,0</w:t>
            </w:r>
          </w:p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926573">
        <w:trPr>
          <w:trHeight w:val="315"/>
        </w:trPr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Основное мероприятие 2. Проведение фестивалей, конкурсов, праздников, мероприятий, формирующих событийный, экологический, культурно-познавательный туризм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1791,4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2841,4</w:t>
            </w:r>
          </w:p>
        </w:tc>
      </w:tr>
    </w:tbl>
    <w:p w:rsidR="00926573" w:rsidRDefault="00926573">
      <w:pPr>
        <w:jc w:val="both"/>
        <w:rPr>
          <w:b/>
          <w:sz w:val="28"/>
        </w:rPr>
        <w:sectPr w:rsidR="00926573">
          <w:pgSz w:w="16838" w:h="11906" w:orient="landscape"/>
          <w:pgMar w:top="567" w:right="567" w:bottom="284" w:left="1134" w:header="709" w:footer="709" w:gutter="0"/>
          <w:cols w:space="708"/>
          <w:titlePg/>
          <w:docGrid w:linePitch="360"/>
        </w:sectPr>
      </w:pPr>
    </w:p>
    <w:p w:rsidR="00926573" w:rsidRDefault="00926573">
      <w:pPr>
        <w:ind w:firstLine="720"/>
        <w:jc w:val="both"/>
        <w:rPr>
          <w:b/>
          <w:sz w:val="28"/>
        </w:rPr>
      </w:pPr>
    </w:p>
    <w:p w:rsidR="00926573" w:rsidRDefault="00481D7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2.5. Индикаторы достижения цели и непосредственные результаты реализации программы</w:t>
      </w:r>
    </w:p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4"/>
        <w:gridCol w:w="2182"/>
        <w:gridCol w:w="1417"/>
        <w:gridCol w:w="922"/>
        <w:gridCol w:w="918"/>
        <w:gridCol w:w="882"/>
        <w:gridCol w:w="882"/>
        <w:gridCol w:w="720"/>
        <w:gridCol w:w="851"/>
        <w:gridCol w:w="709"/>
        <w:gridCol w:w="709"/>
      </w:tblGrid>
      <w:tr w:rsidR="00926573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N п/п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Ед. измерения</w:t>
            </w:r>
          </w:p>
        </w:tc>
        <w:tc>
          <w:tcPr>
            <w:tcW w:w="6593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926573">
        <w:trPr>
          <w:trHeight w:val="61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2021 год</w:t>
            </w:r>
          </w:p>
        </w:tc>
        <w:tc>
          <w:tcPr>
            <w:tcW w:w="9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 год</w:t>
            </w:r>
          </w:p>
        </w:tc>
        <w:tc>
          <w:tcPr>
            <w:tcW w:w="88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 год</w:t>
            </w:r>
          </w:p>
        </w:tc>
        <w:tc>
          <w:tcPr>
            <w:tcW w:w="88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2024 год</w:t>
            </w:r>
          </w:p>
        </w:tc>
        <w:tc>
          <w:tcPr>
            <w:tcW w:w="7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2028 год</w:t>
            </w:r>
          </w:p>
        </w:tc>
      </w:tr>
      <w:tr w:rsidR="00926573">
        <w:trPr>
          <w:trHeight w:val="315"/>
        </w:trPr>
        <w:tc>
          <w:tcPr>
            <w:tcW w:w="72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11</w:t>
            </w:r>
          </w:p>
        </w:tc>
      </w:tr>
      <w:tr w:rsidR="00926573">
        <w:trPr>
          <w:trHeight w:val="47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Муниципальная программа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both"/>
              <w:rPr>
                <w:color w:val="000000"/>
                <w:szCs w:val="24"/>
                <w:lang w:eastAsia="ru-RU"/>
              </w:rPr>
            </w:pPr>
          </w:p>
        </w:tc>
      </w:tr>
      <w:tr w:rsidR="00926573">
        <w:trPr>
          <w:trHeight w:val="1978"/>
        </w:trPr>
        <w:tc>
          <w:tcPr>
            <w:tcW w:w="72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Индикатор 1. Увеличение количества выставочных проектов, осуществляемых в районе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% по отношению к 2013 году</w:t>
            </w:r>
          </w:p>
        </w:tc>
        <w:tc>
          <w:tcPr>
            <w:tcW w:w="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</w:t>
            </w:r>
          </w:p>
        </w:tc>
      </w:tr>
      <w:tr w:rsidR="00926573">
        <w:trPr>
          <w:trHeight w:val="1695"/>
        </w:trPr>
        <w:tc>
          <w:tcPr>
            <w:tcW w:w="72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Непосредственный результат 1.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Увеличение количества туристических маршрутов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Единиц</w:t>
            </w:r>
          </w:p>
        </w:tc>
        <w:tc>
          <w:tcPr>
            <w:tcW w:w="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</w:tr>
      <w:tr w:rsidR="00926573">
        <w:trPr>
          <w:trHeight w:val="1266"/>
        </w:trPr>
        <w:tc>
          <w:tcPr>
            <w:tcW w:w="72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Непосредственный результат 2. Увеличение количества объектов показа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Единиц</w:t>
            </w:r>
          </w:p>
        </w:tc>
        <w:tc>
          <w:tcPr>
            <w:tcW w:w="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</w:tr>
    </w:tbl>
    <w:p w:rsidR="00926573" w:rsidRDefault="00926573">
      <w:pPr>
        <w:ind w:firstLine="720"/>
        <w:jc w:val="both"/>
        <w:rPr>
          <w:sz w:val="28"/>
        </w:rPr>
      </w:pPr>
    </w:p>
    <w:p w:rsidR="00926573" w:rsidRDefault="00481D7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2.6. Меры правового регулирования</w:t>
      </w:r>
    </w:p>
    <w:p w:rsidR="00926573" w:rsidRDefault="00481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разработка нормативно-правовых актов не требуется.</w:t>
      </w:r>
    </w:p>
    <w:p w:rsidR="00926573" w:rsidRDefault="00481D7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2.7. Финансирование из внебюджетных источников</w:t>
      </w:r>
    </w:p>
    <w:p w:rsidR="00926573" w:rsidRDefault="00481D70">
      <w:pPr>
        <w:tabs>
          <w:tab w:val="left" w:pos="1260"/>
        </w:tabs>
        <w:ind w:firstLine="720"/>
        <w:jc w:val="center"/>
        <w:rPr>
          <w:sz w:val="28"/>
        </w:rPr>
      </w:pPr>
      <w:r>
        <w:rPr>
          <w:sz w:val="28"/>
        </w:rPr>
        <w:t>а) Прогнозируемый объем расходов бюджетов за счет внебюджетных источников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850"/>
        <w:gridCol w:w="993"/>
        <w:gridCol w:w="992"/>
        <w:gridCol w:w="1134"/>
        <w:gridCol w:w="850"/>
        <w:gridCol w:w="1134"/>
        <w:gridCol w:w="851"/>
      </w:tblGrid>
      <w:tr w:rsidR="00926573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Соисполнители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Расходы (тыс. руб.), годы</w:t>
            </w:r>
          </w:p>
        </w:tc>
      </w:tr>
      <w:tr w:rsidR="00926573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2028</w:t>
            </w:r>
          </w:p>
        </w:tc>
      </w:tr>
      <w:tr w:rsidR="00926573">
        <w:trPr>
          <w:trHeight w:val="300"/>
        </w:trPr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26573">
        <w:trPr>
          <w:trHeight w:val="2835"/>
        </w:trPr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Муниципальная программа: «Развитие въездного и внутреннего туризма в Бутурлинском муниципальном округе»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«ЦДРиТ»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1132,0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1879,5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1153,5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1053,5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1053,5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1053,5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1053,5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1053,5</w:t>
            </w:r>
          </w:p>
        </w:tc>
      </w:tr>
    </w:tbl>
    <w:p w:rsidR="00926573" w:rsidRDefault="00926573">
      <w:pPr>
        <w:tabs>
          <w:tab w:val="left" w:pos="4635"/>
        </w:tabs>
        <w:ind w:firstLine="720"/>
        <w:jc w:val="both"/>
        <w:rPr>
          <w:sz w:val="28"/>
        </w:rPr>
      </w:pPr>
    </w:p>
    <w:p w:rsidR="00926573" w:rsidRDefault="00926573">
      <w:pPr>
        <w:tabs>
          <w:tab w:val="left" w:pos="4635"/>
        </w:tabs>
        <w:ind w:firstLine="720"/>
        <w:jc w:val="both"/>
        <w:rPr>
          <w:sz w:val="28"/>
        </w:rPr>
      </w:pPr>
    </w:p>
    <w:p w:rsidR="00926573" w:rsidRDefault="00481D70">
      <w:pPr>
        <w:tabs>
          <w:tab w:val="left" w:pos="4635"/>
        </w:tabs>
        <w:ind w:firstLine="720"/>
        <w:jc w:val="both"/>
        <w:rPr>
          <w:sz w:val="28"/>
        </w:rPr>
      </w:pPr>
      <w:r>
        <w:rPr>
          <w:sz w:val="28"/>
        </w:rPr>
        <w:t xml:space="preserve">     б) Условия финансирования</w:t>
      </w:r>
    </w:p>
    <w:p w:rsidR="00926573" w:rsidRDefault="00481D70">
      <w:pPr>
        <w:tabs>
          <w:tab w:val="left" w:pos="4635"/>
        </w:tabs>
        <w:ind w:firstLine="720"/>
        <w:jc w:val="both"/>
        <w:rPr>
          <w:sz w:val="28"/>
        </w:rPr>
      </w:pPr>
      <w:r>
        <w:rPr>
          <w:sz w:val="28"/>
        </w:rPr>
        <w:t xml:space="preserve">Финансирование из внебюджетных источников осуществляется за счет  заработанных средств муниципального бюджетного учреждения культуры </w:t>
      </w:r>
      <w:r>
        <w:rPr>
          <w:sz w:val="28"/>
        </w:rPr>
        <w:lastRenderedPageBreak/>
        <w:t>Бутурлинского муниципального района Нижегородской области «Центр досуга, ремесел и туризма»</w:t>
      </w:r>
    </w:p>
    <w:p w:rsidR="00926573" w:rsidRDefault="00481D7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2.8. Участие в реализации программы муниципальных предприятий и иных организаций</w:t>
      </w:r>
    </w:p>
    <w:p w:rsidR="00926573" w:rsidRDefault="00481D70">
      <w:pPr>
        <w:ind w:firstLine="720"/>
        <w:jc w:val="both"/>
        <w:rPr>
          <w:sz w:val="28"/>
        </w:rPr>
      </w:pPr>
      <w:r>
        <w:rPr>
          <w:sz w:val="28"/>
        </w:rPr>
        <w:t>Участие в реализации программы муниципальных предприятий, акционерных обществ с участием Бутурлинского муниципального округа, общественных, научных и иных организаций не предусмотрено.</w:t>
      </w:r>
    </w:p>
    <w:p w:rsidR="00926573" w:rsidRDefault="00481D7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2.9. Обоснование объема финансовых ресурсов</w:t>
      </w:r>
    </w:p>
    <w:p w:rsidR="00926573" w:rsidRDefault="00481D70">
      <w:pPr>
        <w:widowControl w:val="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программы за счет средств районного бюджета Бутурлинского муниципального округа</w:t>
      </w:r>
    </w:p>
    <w:p w:rsidR="00926573" w:rsidRDefault="00926573">
      <w:pPr>
        <w:widowControl w:val="0"/>
        <w:jc w:val="both"/>
      </w:pPr>
    </w:p>
    <w:tbl>
      <w:tblPr>
        <w:tblW w:w="11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0"/>
        <w:gridCol w:w="1351"/>
        <w:gridCol w:w="1621"/>
        <w:gridCol w:w="946"/>
        <w:gridCol w:w="674"/>
        <w:gridCol w:w="811"/>
        <w:gridCol w:w="810"/>
        <w:gridCol w:w="811"/>
        <w:gridCol w:w="810"/>
        <w:gridCol w:w="812"/>
        <w:gridCol w:w="812"/>
        <w:gridCol w:w="812"/>
      </w:tblGrid>
      <w:tr w:rsidR="00926573">
        <w:trPr>
          <w:gridAfter w:val="1"/>
          <w:wAfter w:w="812" w:type="dxa"/>
          <w:trHeight w:val="31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Статус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</w:pPr>
            <w:r>
              <w:rPr>
                <w:color w:val="000000"/>
                <w:szCs w:val="24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6486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Расходы (тыс. руб.), годы</w:t>
            </w:r>
          </w:p>
        </w:tc>
      </w:tr>
      <w:tr w:rsidR="00926573">
        <w:trPr>
          <w:gridAfter w:val="1"/>
          <w:wAfter w:w="812" w:type="dxa"/>
          <w:trHeight w:val="6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2028</w:t>
            </w:r>
          </w:p>
        </w:tc>
      </w:tr>
      <w:tr w:rsidR="00926573">
        <w:trPr>
          <w:gridAfter w:val="1"/>
          <w:wAfter w:w="812" w:type="dxa"/>
          <w:trHeight w:val="30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11</w:t>
            </w:r>
          </w:p>
        </w:tc>
      </w:tr>
      <w:tr w:rsidR="00926573">
        <w:trPr>
          <w:gridAfter w:val="1"/>
          <w:wAfter w:w="812" w:type="dxa"/>
          <w:trHeight w:val="317"/>
        </w:trPr>
        <w:tc>
          <w:tcPr>
            <w:tcW w:w="108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5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Развитие въездного и внутреннего туризма в Бутурлинском муниципальном округе</w:t>
            </w:r>
          </w:p>
        </w:tc>
        <w:tc>
          <w:tcPr>
            <w:tcW w:w="16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15909,3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34329,7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36059,6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35100,0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35549,9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35602,5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35561,9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35561,9</w:t>
            </w:r>
          </w:p>
        </w:tc>
      </w:tr>
      <w:tr w:rsidR="00926573">
        <w:trPr>
          <w:gridAfter w:val="1"/>
          <w:wAfter w:w="812" w:type="dxa"/>
          <w:trHeight w:val="960"/>
        </w:trPr>
        <w:tc>
          <w:tcPr>
            <w:tcW w:w="108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муниципальный заказчик-координатор</w:t>
            </w: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</w:tr>
      <w:tr w:rsidR="00926573">
        <w:trPr>
          <w:gridAfter w:val="1"/>
          <w:wAfter w:w="812" w:type="dxa"/>
          <w:trHeight w:val="975"/>
        </w:trPr>
        <w:tc>
          <w:tcPr>
            <w:tcW w:w="108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соисполнитель 1</w:t>
            </w: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15909,3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34329,7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36059,6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35100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35549,9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35602,5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35561,9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35561,9</w:t>
            </w:r>
          </w:p>
        </w:tc>
      </w:tr>
      <w:tr w:rsidR="00926573">
        <w:trPr>
          <w:gridAfter w:val="1"/>
          <w:wAfter w:w="812" w:type="dxa"/>
          <w:trHeight w:val="975"/>
        </w:trPr>
        <w:tc>
          <w:tcPr>
            <w:tcW w:w="108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соисполнитель 2</w:t>
            </w: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</w:tr>
      <w:tr w:rsidR="00926573">
        <w:trPr>
          <w:trHeight w:val="1051"/>
        </w:trPr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муниципальный заказчик-координатор</w:t>
            </w:r>
          </w:p>
        </w:tc>
        <w:tc>
          <w:tcPr>
            <w:tcW w:w="9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</w:tcPr>
          <w:p w:rsidR="00926573" w:rsidRDefault="00926573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926573" w:rsidRDefault="00926573">
      <w:pPr>
        <w:widowControl w:val="0"/>
        <w:jc w:val="center"/>
        <w:outlineLvl w:val="4"/>
        <w:rPr>
          <w:sz w:val="28"/>
          <w:szCs w:val="28"/>
        </w:rPr>
        <w:sectPr w:rsidR="0092657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6573" w:rsidRDefault="00481D70">
      <w:pPr>
        <w:widowControl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Прогнозная оценка расходов на реализацию программы за счет всех источников</w:t>
      </w:r>
    </w:p>
    <w:p w:rsidR="00926573" w:rsidRDefault="00926573">
      <w:pPr>
        <w:spacing w:line="360" w:lineRule="auto"/>
        <w:jc w:val="both"/>
        <w:rPr>
          <w:sz w:val="28"/>
        </w:rPr>
      </w:pPr>
    </w:p>
    <w:tbl>
      <w:tblPr>
        <w:tblW w:w="11028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1101"/>
        <w:gridCol w:w="1564"/>
        <w:gridCol w:w="2127"/>
        <w:gridCol w:w="708"/>
        <w:gridCol w:w="851"/>
        <w:gridCol w:w="850"/>
        <w:gridCol w:w="709"/>
        <w:gridCol w:w="708"/>
        <w:gridCol w:w="709"/>
        <w:gridCol w:w="851"/>
        <w:gridCol w:w="850"/>
      </w:tblGrid>
      <w:tr w:rsidR="00926573">
        <w:trPr>
          <w:trHeight w:val="312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926573">
        <w:trPr>
          <w:trHeight w:val="62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2028</w:t>
            </w:r>
          </w:p>
        </w:tc>
      </w:tr>
      <w:tr w:rsidR="00926573">
        <w:trPr>
          <w:trHeight w:val="300"/>
        </w:trPr>
        <w:tc>
          <w:tcPr>
            <w:tcW w:w="110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6573" w:rsidRDefault="00481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6573" w:rsidRDefault="00481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6573" w:rsidRDefault="00481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926573">
        <w:trPr>
          <w:trHeight w:val="300"/>
        </w:trPr>
        <w:tc>
          <w:tcPr>
            <w:tcW w:w="110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Программа</w:t>
            </w:r>
          </w:p>
        </w:tc>
        <w:tc>
          <w:tcPr>
            <w:tcW w:w="1564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Развитие въездного и внутреннего туризма в Бутурлинском муниципальном округе Нижегородской области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24358,2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36209,2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38027,5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38972,4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36903,4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42103,9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40407,2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41425,7</w:t>
            </w:r>
          </w:p>
        </w:tc>
      </w:tr>
      <w:tr w:rsidR="00926573">
        <w:trPr>
          <w:trHeight w:val="300"/>
        </w:trPr>
        <w:tc>
          <w:tcPr>
            <w:tcW w:w="110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15909,3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34329,7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36059,6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35100,0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35549,9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41966,9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40407,2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41425,7</w:t>
            </w:r>
          </w:p>
        </w:tc>
      </w:tr>
      <w:tr w:rsidR="00926573">
        <w:trPr>
          <w:trHeight w:val="300"/>
        </w:trPr>
        <w:tc>
          <w:tcPr>
            <w:tcW w:w="110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7266,9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195,5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1001,3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60"/>
        </w:trPr>
        <w:tc>
          <w:tcPr>
            <w:tcW w:w="110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618,9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1817,6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60"/>
        </w:trPr>
        <w:tc>
          <w:tcPr>
            <w:tcW w:w="110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110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1132,0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1879,5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1153,5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1053,5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1053,5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Основное мероприятие 1. Расходы на услугу по организации деятельности кружков, творческих коллективов, клубных формирований, организация и проведение различных культурно-досуговых мероприятий, экскурсионное обслуживание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24258,2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34417,8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37277,5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37583,4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36853,4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42053,9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40407,2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41375,7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15809,3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33238,3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35309,6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35050,0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35499,9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41916,9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40407,2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41375,7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7266,9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195,5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1001,3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618,9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478,6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3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1132,0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1179,5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1153,5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1053,5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1053,5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1.1. Обеспечение деятельности МБУК "ЦДРиТ"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24258,2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32668,6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31868,2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35734,1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36512,8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41907,70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40407,20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41375,70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15809,3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31489,1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30714,7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34680,6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35459,3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41907,70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40407,20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41375,70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</w:t>
            </w:r>
            <w:r>
              <w:rPr>
                <w:color w:val="000000"/>
                <w:sz w:val="23"/>
                <w:szCs w:val="23"/>
                <w:lang w:eastAsia="ru-RU"/>
              </w:rPr>
              <w:lastRenderedPageBreak/>
              <w:t>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7266,9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926573">
        <w:trPr>
          <w:trHeight w:val="67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1132,0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1179,5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1153,5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1053,5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1053,5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1.2. Маркетинг и реклама туристического потенциала Бутурлинского района (создание и обслуживание туристко-информационного сайта)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6573" w:rsidRDefault="00481D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1.3. Ремонт, замена, реконструкция зданий, строительство зданий, сооружений, оборудования, электро- и газосчетчика и т.п.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5269,8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4587,0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163,9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518,9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Мероприятие 1.4. Приобретение оборудования, мебели, компьютерного оборудования, оргтехники, развитие и укрепление материально-технической базы домов культуры и т.д.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1749,1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139,5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1749,3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340,6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146,2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1749,1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269,4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1001,3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478,6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7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1.5. Формирование конкурентоспособного турпродукта, развитие инфраструктуры туризма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0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7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1.6. Подготовка и переподготовка кадров, повышение квалификации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5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9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Основное мероприятие 2. Проведение фестивалей, конкурсов, праздников, мероприятий, формирующих событийный, экологический, культурно-познавательный туризм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1791,4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1091,4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2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1339,0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2.1. Проведение Всероссийского фестиваля- конкурса исполнителей народной песни «Вишнёвая метель» памяти Л.Г. Зыкиной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769,1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1389,0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1339,0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9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2.2. Проведение праздника цветения вишни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5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72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2.3. Проведение фестиваля мастеров народных промыслов и ремесел «Борнуковская слобода»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3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Мероприятие 2.4. Празднование государственных праздников России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 (1) + (2) + 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3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2.5. </w:t>
            </w:r>
            <w:r>
              <w:rPr>
                <w:color w:val="000000"/>
                <w:szCs w:val="24"/>
                <w:lang w:eastAsia="ru-RU"/>
              </w:rPr>
              <w:lastRenderedPageBreak/>
              <w:t>Празднование юбилейной даты образования Бутурлино (470-летие)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lastRenderedPageBreak/>
              <w:t xml:space="preserve">Всего (1) + (2) + </w:t>
            </w:r>
            <w:r>
              <w:rPr>
                <w:color w:val="000000"/>
                <w:sz w:val="23"/>
                <w:szCs w:val="23"/>
                <w:lang w:eastAsia="ru-RU"/>
              </w:rPr>
              <w:lastRenderedPageBreak/>
              <w:t>(3) + (4) + (5)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1022,3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922,3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3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435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6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926573">
        <w:trPr>
          <w:trHeight w:val="900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926573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926573" w:rsidRDefault="00481D70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6573" w:rsidRDefault="00481D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926573" w:rsidRDefault="00926573">
      <w:pPr>
        <w:pStyle w:val="afd"/>
        <w:spacing w:after="0"/>
        <w:ind w:left="0"/>
        <w:jc w:val="both"/>
        <w:rPr>
          <w:sz w:val="28"/>
          <w:szCs w:val="28"/>
        </w:rPr>
      </w:pPr>
    </w:p>
    <w:sectPr w:rsidR="00926573">
      <w:headerReference w:type="even" r:id="rId8"/>
      <w:headerReference w:type="default" r:id="rId9"/>
      <w:headerReference w:type="first" r:id="rId10"/>
      <w:pgSz w:w="11906" w:h="16838"/>
      <w:pgMar w:top="567" w:right="70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B4" w:rsidRDefault="005A2EB4">
      <w:r>
        <w:separator/>
      </w:r>
    </w:p>
  </w:endnote>
  <w:endnote w:type="continuationSeparator" w:id="0">
    <w:p w:rsidR="005A2EB4" w:rsidRDefault="005A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B4" w:rsidRDefault="005A2EB4">
      <w:r>
        <w:separator/>
      </w:r>
    </w:p>
  </w:footnote>
  <w:footnote w:type="continuationSeparator" w:id="0">
    <w:p w:rsidR="005A2EB4" w:rsidRDefault="005A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73" w:rsidRDefault="00481D70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926573" w:rsidRDefault="00926573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73" w:rsidRDefault="00481D70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EC7452">
      <w:rPr>
        <w:rStyle w:val="afc"/>
        <w:noProof/>
      </w:rPr>
      <w:t>17</w:t>
    </w:r>
    <w:r>
      <w:rPr>
        <w:rStyle w:val="afc"/>
      </w:rPr>
      <w:fldChar w:fldCharType="end"/>
    </w:r>
  </w:p>
  <w:p w:rsidR="00926573" w:rsidRDefault="00926573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573" w:rsidRDefault="00926573">
    <w:pPr>
      <w:pStyle w:val="af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3"/>
    <w:rsid w:val="00481D70"/>
    <w:rsid w:val="005A2EB4"/>
    <w:rsid w:val="00926573"/>
    <w:rsid w:val="00E21B1F"/>
    <w:rsid w:val="00EC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1708A-CFFC-4A32-965C-D0FB7E2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link w:val="af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Title"/>
    <w:basedOn w:val="a"/>
    <w:next w:val="a"/>
    <w:link w:val="af7"/>
    <w:uiPriority w:val="99"/>
    <w:qFormat/>
    <w:pPr>
      <w:jc w:val="center"/>
    </w:pPr>
    <w:rPr>
      <w:b/>
      <w:i/>
      <w:sz w:val="28"/>
    </w:rPr>
  </w:style>
  <w:style w:type="character" w:customStyle="1" w:styleId="af7">
    <w:name w:val="Название Знак"/>
    <w:link w:val="af6"/>
    <w:uiPriority w:val="99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f8">
    <w:name w:val="Subtitle"/>
    <w:basedOn w:val="a"/>
    <w:next w:val="a"/>
    <w:link w:val="af9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9">
    <w:name w:val="Подзаголовок Знак"/>
    <w:link w:val="af8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link w:val="13"/>
    <w:pPr>
      <w:widowControl w:val="0"/>
    </w:pPr>
    <w:rPr>
      <w:rFonts w:ascii="Arial" w:eastAsia="Times New Roman" w:hAnsi="Arial" w:cs="Arial"/>
      <w:b/>
      <w:bCs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a">
    <w:name w:val="header"/>
    <w:basedOn w:val="a"/>
    <w:link w:val="afb"/>
    <w:pPr>
      <w:tabs>
        <w:tab w:val="center" w:pos="4536"/>
        <w:tab w:val="right" w:pos="9072"/>
      </w:tabs>
    </w:pPr>
  </w:style>
  <w:style w:type="character" w:customStyle="1" w:styleId="afb">
    <w:name w:val="Верхний колонтитул Знак"/>
    <w:link w:val="af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c">
    <w:name w:val="page number"/>
    <w:basedOn w:val="a0"/>
  </w:style>
  <w:style w:type="paragraph" w:customStyle="1" w:styleId="s3">
    <w:name w:val="s_3"/>
    <w:basedOn w:val="a"/>
    <w:link w:val="210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Pr>
      <w:rFonts w:ascii="Times New Roman" w:eastAsia="Times New Roman" w:hAnsi="Times New Roman"/>
      <w:sz w:val="24"/>
      <w:lang w:eastAsia="ar-SA"/>
    </w:rPr>
  </w:style>
  <w:style w:type="character" w:styleId="aff">
    <w:name w:val="Hyperlink"/>
    <w:uiPriority w:val="99"/>
    <w:unhideWhenUsed/>
    <w:rPr>
      <w:color w:val="0563C1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  <w:sz w:val="23"/>
      <w:szCs w:val="23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3"/>
      <w:szCs w:val="23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color w:val="FF0000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Cs w:val="24"/>
      <w:lang w:eastAsia="ru-RU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88">
    <w:name w:val="xl88"/>
    <w:basedOn w:val="a"/>
    <w:pPr>
      <w:pBdr>
        <w:left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89">
    <w:name w:val="xl89"/>
    <w:basedOn w:val="a"/>
    <w:pPr>
      <w:pBdr>
        <w:right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91">
    <w:name w:val="xl9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14">
    <w:name w:val="Название1"/>
    <w:basedOn w:val="af6"/>
    <w:next w:val="af6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customStyle="1" w:styleId="13">
    <w:name w:val="Основной текст1"/>
    <w:basedOn w:val="af6"/>
    <w:next w:val="ConsPlusNormal"/>
    <w:link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left"/>
    </w:pPr>
    <w:rPr>
      <w:b w:val="0"/>
      <w:i w:val="0"/>
      <w:sz w:val="24"/>
    </w:rPr>
  </w:style>
  <w:style w:type="paragraph" w:customStyle="1" w:styleId="15">
    <w:name w:val="Подзаголовок1"/>
    <w:basedOn w:val="af6"/>
    <w:next w:val="af6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Cambria" w:hAnsi="Cambria"/>
      <w:b w:val="0"/>
      <w:iCs/>
      <w:color w:val="4F81BD"/>
      <w:spacing w:val="15"/>
      <w:sz w:val="24"/>
      <w:szCs w:val="24"/>
    </w:rPr>
  </w:style>
  <w:style w:type="character" w:customStyle="1" w:styleId="docdatadocyv51698bqiaagaaeyqcaaagiaiaaaodawaabasdaaaaaaaaaaaaaaaaaaaaaaaaaaaaaaaaaaaaaaaaaaaaaaaaaaaaaaaaaaaaaaaaaaaaaaaaaaaaaaaaaaaaaaaaaaaaaaaaaaaaaaaaaaaaaaaaaaaaaaaaaaaaaaaaaaaaaaaaaaaaaaaaaaaaaaaaaaaaaaaaaaaaaaaaaaaaaaaaaaaaaaaaaaaaaaaaaaaaaaaa">
    <w:name w:val="docdata;docy;v5;1698;bqiaagaaeyqcaaagiaiaaaodawaabasdaaaaaaaaaaaaaaaaaaaaaaaaaaaaaaaaaaaaaaaaaaaaaaaaaaaaaaaaaaaaaaaaaaaaaaaaaaaaaaaaaaaaaaaaaaaaaaaaaaaaaaaaaaaaaaaaaaaaaaaaaaaaaaaaaaaaaaaaaaaaaaaaaaaaaaaaaaaaaaaaaaaaaaaaaaaaaaaaaaaaaaaaaaaaaaaaaaaaaaaa"/>
  </w:style>
  <w:style w:type="paragraph" w:customStyle="1" w:styleId="211">
    <w:name w:val="Основной текст с отступом 21"/>
    <w:basedOn w:val="af6"/>
    <w:next w:val="s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  <w:jc w:val="left"/>
    </w:pPr>
    <w:rPr>
      <w:b w:val="0"/>
      <w:i w:val="0"/>
      <w:sz w:val="24"/>
    </w:rPr>
  </w:style>
  <w:style w:type="paragraph" w:customStyle="1" w:styleId="210">
    <w:name w:val="Основной текст 21"/>
    <w:basedOn w:val="af6"/>
    <w:link w:val="s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jc w:val="left"/>
    </w:pPr>
    <w:rPr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turlino.nob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229B-6B30-4EE0-ADA7-6664EC8E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4133</Words>
  <Characters>23563</Characters>
  <Application>Microsoft Office Word</Application>
  <DocSecurity>0</DocSecurity>
  <Lines>196</Lines>
  <Paragraphs>55</Paragraphs>
  <ScaleCrop>false</ScaleCrop>
  <Company>Wolfish Lair</Company>
  <LinksUpToDate>false</LinksUpToDate>
  <CharactersWithSpaces>27641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eco-petrova</dc:creator>
  <cp:lastModifiedBy>kadr-2</cp:lastModifiedBy>
  <cp:revision>17</cp:revision>
  <dcterms:created xsi:type="dcterms:W3CDTF">2024-11-08T13:03:00Z</dcterms:created>
  <dcterms:modified xsi:type="dcterms:W3CDTF">2026-03-27T05:52:00Z</dcterms:modified>
</cp:coreProperties>
</file>