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C3D" w:rsidRDefault="00715C3D" w:rsidP="00715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15C3D" w:rsidRDefault="00715C3D" w:rsidP="00715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БУТУРЛИНСКОГО МУНИЦИПАЛЬНОГО ОКРУГА</w:t>
      </w:r>
    </w:p>
    <w:p w:rsidR="00715C3D" w:rsidRDefault="00715C3D" w:rsidP="00715C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</w:t>
      </w:r>
    </w:p>
    <w:p w:rsidR="00715C3D" w:rsidRDefault="00715C3D" w:rsidP="00715C3D">
      <w:pPr>
        <w:jc w:val="center"/>
        <w:rPr>
          <w:b/>
          <w:sz w:val="28"/>
          <w:szCs w:val="28"/>
        </w:rPr>
      </w:pPr>
    </w:p>
    <w:p w:rsidR="00715C3D" w:rsidRDefault="00715C3D" w:rsidP="00715C3D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15C3D" w:rsidRDefault="00715C3D" w:rsidP="00715C3D">
      <w:pPr>
        <w:jc w:val="center"/>
        <w:rPr>
          <w:b/>
          <w:sz w:val="32"/>
        </w:rPr>
      </w:pPr>
    </w:p>
    <w:p w:rsidR="000B5B99" w:rsidRDefault="000B5B99" w:rsidP="00A95A3A">
      <w:pPr>
        <w:tabs>
          <w:tab w:val="left" w:pos="4785"/>
        </w:tabs>
        <w:rPr>
          <w:b/>
          <w:sz w:val="32"/>
        </w:rPr>
      </w:pPr>
      <w:r>
        <w:rPr>
          <w:sz w:val="28"/>
          <w:szCs w:val="28"/>
        </w:rPr>
        <w:t>О</w:t>
      </w:r>
      <w:r w:rsidRPr="00790D82">
        <w:rPr>
          <w:sz w:val="28"/>
          <w:szCs w:val="28"/>
        </w:rPr>
        <w:t>т</w:t>
      </w:r>
      <w:r>
        <w:rPr>
          <w:sz w:val="28"/>
          <w:szCs w:val="28"/>
        </w:rPr>
        <w:t>28.11.2024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b/>
          <w:sz w:val="32"/>
        </w:rPr>
        <w:tab/>
        <w:t xml:space="preserve">     </w:t>
      </w:r>
      <w:r>
        <w:rPr>
          <w:sz w:val="28"/>
          <w:szCs w:val="28"/>
        </w:rPr>
        <w:t>№ 1903</w:t>
      </w:r>
    </w:p>
    <w:p w:rsidR="00715C3D" w:rsidRDefault="00715C3D" w:rsidP="00715C3D">
      <w:pPr>
        <w:jc w:val="center"/>
        <w:rPr>
          <w:b/>
          <w:sz w:val="32"/>
        </w:rPr>
      </w:pPr>
    </w:p>
    <w:p w:rsidR="00715C3D" w:rsidRDefault="00715C3D" w:rsidP="00715C3D">
      <w:pPr>
        <w:jc w:val="center"/>
        <w:rPr>
          <w:b/>
          <w:sz w:val="28"/>
          <w:szCs w:val="28"/>
        </w:rPr>
      </w:pPr>
      <w:r w:rsidRPr="00E966F1">
        <w:rPr>
          <w:b/>
          <w:sz w:val="28"/>
          <w:szCs w:val="28"/>
        </w:rPr>
        <w:t>Об использовании предоставленной</w:t>
      </w:r>
      <w:r>
        <w:rPr>
          <w:b/>
          <w:sz w:val="28"/>
          <w:szCs w:val="28"/>
        </w:rPr>
        <w:t xml:space="preserve"> </w:t>
      </w:r>
      <w:r w:rsidRPr="00E966F1">
        <w:rPr>
          <w:b/>
          <w:sz w:val="28"/>
          <w:szCs w:val="28"/>
        </w:rPr>
        <w:t xml:space="preserve">бюджету Бутурлинского муниципального округа из бюджета Нижегородской области дотации </w:t>
      </w:r>
      <w:r w:rsidRPr="00715C3D">
        <w:rPr>
          <w:b/>
          <w:sz w:val="28"/>
          <w:szCs w:val="28"/>
        </w:rPr>
        <w:t>на поощрение за достижение наилучших результатов по разработке и внедрению проектов по бережливости</w:t>
      </w:r>
    </w:p>
    <w:p w:rsidR="00715C3D" w:rsidRDefault="00715C3D" w:rsidP="00715C3D">
      <w:pPr>
        <w:jc w:val="center"/>
        <w:rPr>
          <w:b/>
          <w:sz w:val="32"/>
        </w:rPr>
      </w:pPr>
    </w:p>
    <w:p w:rsidR="00715C3D" w:rsidRPr="005D5D83" w:rsidRDefault="00715C3D" w:rsidP="00715C3D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  <w:r w:rsidRPr="005D5D83">
        <w:rPr>
          <w:color w:val="000000"/>
          <w:sz w:val="28"/>
          <w:szCs w:val="28"/>
        </w:rPr>
        <w:t xml:space="preserve">В связи с предоставлением бюджету Бутурлинского муниципального округа из бюджета Нижегородский области дотации </w:t>
      </w:r>
      <w:r w:rsidRPr="00715C3D">
        <w:rPr>
          <w:color w:val="000000"/>
          <w:sz w:val="28"/>
          <w:szCs w:val="28"/>
        </w:rPr>
        <w:t xml:space="preserve">на поощрение за достижение наилучших результатов по разработке и внедрению проектов по бережливости </w:t>
      </w:r>
      <w:r w:rsidRPr="005D5D83">
        <w:rPr>
          <w:sz w:val="28"/>
          <w:szCs w:val="28"/>
        </w:rPr>
        <w:t xml:space="preserve">администрация Бутурлинского муниципального округа Нижегородской области </w:t>
      </w:r>
      <w:r w:rsidRPr="005D5D83">
        <w:rPr>
          <w:b/>
          <w:sz w:val="28"/>
          <w:szCs w:val="28"/>
        </w:rPr>
        <w:t xml:space="preserve">п о с </w:t>
      </w:r>
      <w:proofErr w:type="gramStart"/>
      <w:r w:rsidRPr="005D5D83">
        <w:rPr>
          <w:b/>
          <w:sz w:val="28"/>
          <w:szCs w:val="28"/>
        </w:rPr>
        <w:t>т</w:t>
      </w:r>
      <w:proofErr w:type="gramEnd"/>
      <w:r w:rsidRPr="005D5D83">
        <w:rPr>
          <w:b/>
          <w:sz w:val="28"/>
          <w:szCs w:val="28"/>
        </w:rPr>
        <w:t xml:space="preserve"> а н о в л я е т:</w:t>
      </w:r>
    </w:p>
    <w:p w:rsidR="00715C3D" w:rsidRPr="005D5D83" w:rsidRDefault="00715C3D" w:rsidP="00715C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D5D83">
        <w:rPr>
          <w:color w:val="000000"/>
          <w:sz w:val="28"/>
          <w:szCs w:val="28"/>
        </w:rPr>
        <w:t>1. Утвердить прилагаемые:</w:t>
      </w:r>
    </w:p>
    <w:p w:rsidR="00715C3D" w:rsidRDefault="00715C3D" w:rsidP="00715C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а) </w:t>
      </w:r>
      <w:r w:rsidRPr="006C3A1A">
        <w:rPr>
          <w:color w:val="000000"/>
          <w:sz w:val="28"/>
        </w:rPr>
        <w:t xml:space="preserve">Порядок </w:t>
      </w:r>
      <w:r w:rsidRPr="00067A52">
        <w:rPr>
          <w:color w:val="000000"/>
          <w:sz w:val="28"/>
        </w:rPr>
        <w:t xml:space="preserve">использования </w:t>
      </w:r>
      <w:r w:rsidRPr="00E564D1">
        <w:rPr>
          <w:color w:val="000000"/>
          <w:sz w:val="28"/>
        </w:rPr>
        <w:t>предоставленной</w:t>
      </w:r>
      <w:r>
        <w:rPr>
          <w:color w:val="000000"/>
          <w:sz w:val="28"/>
        </w:rPr>
        <w:t xml:space="preserve"> </w:t>
      </w:r>
      <w:r w:rsidRPr="00E564D1">
        <w:rPr>
          <w:color w:val="000000"/>
          <w:sz w:val="28"/>
        </w:rPr>
        <w:t xml:space="preserve">бюджету Бутурлинского муниципального округа из бюджета Нижегородской области </w:t>
      </w:r>
      <w:r w:rsidRPr="00471326">
        <w:rPr>
          <w:color w:val="000000"/>
          <w:sz w:val="28"/>
        </w:rPr>
        <w:t xml:space="preserve">дотации </w:t>
      </w:r>
      <w:r w:rsidRPr="00715C3D">
        <w:rPr>
          <w:color w:val="000000"/>
          <w:sz w:val="28"/>
        </w:rPr>
        <w:t>на поощрение за достижение наилучших результатов по разработке и внедрению проектов по бережливости</w:t>
      </w:r>
      <w:r>
        <w:rPr>
          <w:color w:val="000000"/>
          <w:sz w:val="28"/>
        </w:rPr>
        <w:t>;</w:t>
      </w:r>
    </w:p>
    <w:p w:rsidR="00715C3D" w:rsidRPr="00E564D1" w:rsidRDefault="00715C3D" w:rsidP="00715C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</w:t>
      </w:r>
      <w:r w:rsidRPr="00471326">
        <w:rPr>
          <w:color w:val="000000"/>
          <w:sz w:val="28"/>
          <w:szCs w:val="28"/>
        </w:rPr>
        <w:t>еречень</w:t>
      </w:r>
      <w:r>
        <w:rPr>
          <w:color w:val="000000"/>
          <w:sz w:val="28"/>
          <w:szCs w:val="28"/>
        </w:rPr>
        <w:t xml:space="preserve"> </w:t>
      </w:r>
      <w:r w:rsidRPr="00471326">
        <w:rPr>
          <w:color w:val="000000"/>
          <w:sz w:val="28"/>
          <w:szCs w:val="28"/>
        </w:rPr>
        <w:t xml:space="preserve">мероприятий, на финансовое обеспечение расходов по которым направляются средства </w:t>
      </w:r>
      <w:r w:rsidRPr="00E564D1">
        <w:rPr>
          <w:color w:val="000000"/>
          <w:sz w:val="28"/>
          <w:szCs w:val="28"/>
        </w:rPr>
        <w:t xml:space="preserve">предоставленной бюджету Бутурлинского муниципального округа из бюджета Нижегородской области </w:t>
      </w:r>
      <w:r w:rsidRPr="00471326">
        <w:rPr>
          <w:color w:val="000000"/>
          <w:sz w:val="28"/>
        </w:rPr>
        <w:t xml:space="preserve">дотации </w:t>
      </w:r>
      <w:r w:rsidRPr="00715C3D">
        <w:rPr>
          <w:color w:val="000000"/>
          <w:sz w:val="28"/>
        </w:rPr>
        <w:t>на поощрение за достижение наилучших результатов по разработке и внедрению проектов по бережливости</w:t>
      </w:r>
      <w:r>
        <w:rPr>
          <w:color w:val="000000"/>
          <w:sz w:val="28"/>
        </w:rPr>
        <w:t xml:space="preserve">, </w:t>
      </w:r>
      <w:r w:rsidRPr="00642907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главных распорядителей бюджетных средств как </w:t>
      </w:r>
      <w:r w:rsidRPr="00642907">
        <w:rPr>
          <w:color w:val="000000"/>
          <w:sz w:val="28"/>
          <w:szCs w:val="28"/>
        </w:rPr>
        <w:t>получателей бюджетных средс</w:t>
      </w:r>
      <w:r>
        <w:rPr>
          <w:color w:val="000000"/>
          <w:sz w:val="28"/>
          <w:szCs w:val="28"/>
        </w:rPr>
        <w:t>тв,</w:t>
      </w:r>
      <w:r w:rsidRPr="00E564D1">
        <w:t xml:space="preserve"> </w:t>
      </w:r>
      <w:r w:rsidRPr="00E564D1">
        <w:rPr>
          <w:color w:val="000000"/>
          <w:sz w:val="28"/>
          <w:szCs w:val="28"/>
        </w:rPr>
        <w:t xml:space="preserve">имеющие право на принятие и (или) исполнение бюджетных обязательств за счет средств </w:t>
      </w:r>
      <w:r>
        <w:rPr>
          <w:color w:val="000000"/>
          <w:sz w:val="28"/>
          <w:szCs w:val="28"/>
        </w:rPr>
        <w:t>данной дотации</w:t>
      </w:r>
      <w:r w:rsidR="00AF2C42">
        <w:rPr>
          <w:color w:val="000000"/>
          <w:sz w:val="28"/>
          <w:szCs w:val="28"/>
        </w:rPr>
        <w:t xml:space="preserve"> (далее – перечень мероприятий)</w:t>
      </w:r>
      <w:r>
        <w:rPr>
          <w:color w:val="000000"/>
          <w:sz w:val="28"/>
          <w:szCs w:val="28"/>
        </w:rPr>
        <w:t>.</w:t>
      </w:r>
    </w:p>
    <w:p w:rsidR="00715C3D" w:rsidRPr="00471326" w:rsidRDefault="00715C3D" w:rsidP="00715C3D">
      <w:pPr>
        <w:widowControl w:val="0"/>
        <w:tabs>
          <w:tab w:val="left" w:pos="9356"/>
        </w:tabs>
        <w:autoSpaceDE w:val="0"/>
        <w:autoSpaceDN w:val="0"/>
        <w:spacing w:line="360" w:lineRule="auto"/>
        <w:ind w:firstLine="709"/>
        <w:jc w:val="both"/>
        <w:rPr>
          <w:sz w:val="28"/>
          <w:szCs w:val="22"/>
          <w:lang w:eastAsia="en-US"/>
        </w:rPr>
      </w:pPr>
      <w:r>
        <w:rPr>
          <w:color w:val="000000"/>
          <w:sz w:val="28"/>
        </w:rPr>
        <w:t xml:space="preserve">2. </w:t>
      </w:r>
      <w:r>
        <w:rPr>
          <w:sz w:val="28"/>
          <w:szCs w:val="22"/>
          <w:lang w:eastAsia="en-US"/>
        </w:rPr>
        <w:t xml:space="preserve">Организационно-правовому управлению администрации </w:t>
      </w:r>
      <w:r w:rsidRPr="00471326">
        <w:rPr>
          <w:sz w:val="28"/>
          <w:szCs w:val="22"/>
          <w:lang w:eastAsia="en-US"/>
        </w:rPr>
        <w:t>Бутурлинского муниципального</w:t>
      </w:r>
      <w:r w:rsidRPr="00471326">
        <w:rPr>
          <w:spacing w:val="1"/>
          <w:sz w:val="28"/>
          <w:szCs w:val="22"/>
          <w:lang w:eastAsia="en-US"/>
        </w:rPr>
        <w:t xml:space="preserve"> </w:t>
      </w:r>
      <w:r w:rsidRPr="00471326">
        <w:rPr>
          <w:sz w:val="28"/>
          <w:szCs w:val="22"/>
          <w:lang w:eastAsia="en-US"/>
        </w:rPr>
        <w:t>округа</w:t>
      </w:r>
      <w:r w:rsidRPr="00471326">
        <w:rPr>
          <w:spacing w:val="-2"/>
          <w:sz w:val="28"/>
          <w:szCs w:val="22"/>
          <w:lang w:eastAsia="en-US"/>
        </w:rPr>
        <w:t xml:space="preserve"> </w:t>
      </w:r>
      <w:r>
        <w:rPr>
          <w:sz w:val="28"/>
          <w:szCs w:val="22"/>
          <w:lang w:eastAsia="en-US"/>
        </w:rPr>
        <w:t>(</w:t>
      </w:r>
      <w:proofErr w:type="spellStart"/>
      <w:r>
        <w:rPr>
          <w:sz w:val="28"/>
          <w:szCs w:val="22"/>
          <w:lang w:eastAsia="en-US"/>
        </w:rPr>
        <w:t>Строкина</w:t>
      </w:r>
      <w:proofErr w:type="spellEnd"/>
      <w:r>
        <w:rPr>
          <w:sz w:val="28"/>
          <w:szCs w:val="22"/>
          <w:lang w:eastAsia="en-US"/>
        </w:rPr>
        <w:t xml:space="preserve"> М.Н.), у</w:t>
      </w:r>
      <w:r w:rsidRPr="00FE42D7">
        <w:rPr>
          <w:sz w:val="28"/>
          <w:szCs w:val="22"/>
          <w:lang w:eastAsia="en-US"/>
        </w:rPr>
        <w:t>правлени</w:t>
      </w:r>
      <w:r>
        <w:rPr>
          <w:sz w:val="28"/>
          <w:szCs w:val="22"/>
          <w:lang w:eastAsia="en-US"/>
        </w:rPr>
        <w:t xml:space="preserve">ю </w:t>
      </w:r>
      <w:r w:rsidRPr="00FE42D7">
        <w:rPr>
          <w:sz w:val="28"/>
          <w:szCs w:val="22"/>
          <w:lang w:eastAsia="en-US"/>
        </w:rPr>
        <w:t>по благоустройству и комплексному содержанию территорий</w:t>
      </w:r>
      <w:r>
        <w:rPr>
          <w:sz w:val="28"/>
          <w:szCs w:val="22"/>
          <w:lang w:eastAsia="en-US"/>
        </w:rPr>
        <w:t xml:space="preserve"> администрации </w:t>
      </w:r>
      <w:r>
        <w:rPr>
          <w:sz w:val="28"/>
          <w:szCs w:val="22"/>
          <w:lang w:eastAsia="en-US"/>
        </w:rPr>
        <w:lastRenderedPageBreak/>
        <w:t>Бутурлинского муниципального</w:t>
      </w:r>
      <w:r w:rsidRPr="00B72BA9">
        <w:rPr>
          <w:spacing w:val="1"/>
          <w:sz w:val="28"/>
          <w:szCs w:val="22"/>
          <w:lang w:eastAsia="en-US"/>
        </w:rPr>
        <w:t xml:space="preserve"> </w:t>
      </w:r>
      <w:r w:rsidRPr="00B72BA9">
        <w:rPr>
          <w:sz w:val="28"/>
          <w:szCs w:val="22"/>
          <w:lang w:eastAsia="en-US"/>
        </w:rPr>
        <w:t>округа</w:t>
      </w:r>
      <w:r w:rsidRPr="00B72BA9">
        <w:rPr>
          <w:spacing w:val="-2"/>
          <w:sz w:val="28"/>
          <w:szCs w:val="22"/>
          <w:lang w:eastAsia="en-US"/>
        </w:rPr>
        <w:t xml:space="preserve"> </w:t>
      </w:r>
      <w:r w:rsidR="00AF2C42">
        <w:rPr>
          <w:sz w:val="28"/>
          <w:szCs w:val="22"/>
          <w:lang w:eastAsia="en-US"/>
        </w:rPr>
        <w:t>(</w:t>
      </w:r>
      <w:proofErr w:type="spellStart"/>
      <w:r w:rsidR="00AF2C42">
        <w:rPr>
          <w:sz w:val="28"/>
          <w:szCs w:val="22"/>
          <w:lang w:eastAsia="en-US"/>
        </w:rPr>
        <w:t>Рвалов</w:t>
      </w:r>
      <w:proofErr w:type="spellEnd"/>
      <w:r w:rsidR="00AF2C42">
        <w:rPr>
          <w:sz w:val="28"/>
          <w:szCs w:val="22"/>
          <w:lang w:eastAsia="en-US"/>
        </w:rPr>
        <w:t xml:space="preserve"> С. В.) </w:t>
      </w:r>
      <w:r w:rsidRPr="00471326">
        <w:rPr>
          <w:spacing w:val="2"/>
          <w:sz w:val="28"/>
          <w:szCs w:val="22"/>
          <w:lang w:eastAsia="en-US"/>
        </w:rPr>
        <w:t>осуществить в пределах компетенции контроль за целевым и эффективным использованием бюджетных ассигнований, предусмотренных перечнем мероприятий</w:t>
      </w:r>
      <w:r w:rsidRPr="00471326">
        <w:rPr>
          <w:sz w:val="28"/>
          <w:szCs w:val="22"/>
          <w:lang w:eastAsia="en-US"/>
        </w:rPr>
        <w:t>.</w:t>
      </w:r>
    </w:p>
    <w:p w:rsidR="00715C3D" w:rsidRPr="00ED1DB0" w:rsidRDefault="00715C3D" w:rsidP="00715C3D">
      <w:pPr>
        <w:shd w:val="clear" w:color="auto" w:fill="FFFFFF"/>
        <w:spacing w:line="360" w:lineRule="auto"/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Pr="00ED1DB0">
        <w:rPr>
          <w:color w:val="000000"/>
          <w:sz w:val="28"/>
        </w:rPr>
        <w:t xml:space="preserve">. Контроль за исполнением настоящего постановления </w:t>
      </w:r>
      <w:r>
        <w:rPr>
          <w:color w:val="000000"/>
          <w:sz w:val="28"/>
        </w:rPr>
        <w:t>оставляю за собой.</w:t>
      </w:r>
    </w:p>
    <w:p w:rsidR="00715C3D" w:rsidRPr="00ED1DB0" w:rsidRDefault="00715C3D" w:rsidP="00715C3D">
      <w:pPr>
        <w:shd w:val="clear" w:color="auto" w:fill="FFFFFF"/>
        <w:spacing w:line="276" w:lineRule="auto"/>
        <w:jc w:val="both"/>
        <w:rPr>
          <w:color w:val="000000"/>
          <w:sz w:val="28"/>
        </w:rPr>
      </w:pPr>
    </w:p>
    <w:p w:rsidR="000B5B99" w:rsidRDefault="00715C3D" w:rsidP="00715C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="000B5B99">
        <w:rPr>
          <w:sz w:val="28"/>
          <w:szCs w:val="28"/>
        </w:rPr>
        <w:tab/>
      </w:r>
      <w:r w:rsidR="000B5B99">
        <w:rPr>
          <w:sz w:val="28"/>
          <w:szCs w:val="28"/>
        </w:rPr>
        <w:tab/>
      </w:r>
      <w:r w:rsidR="000B5B99">
        <w:rPr>
          <w:sz w:val="28"/>
          <w:szCs w:val="28"/>
        </w:rPr>
        <w:tab/>
      </w:r>
      <w:r w:rsidR="000B5B99">
        <w:rPr>
          <w:sz w:val="28"/>
          <w:szCs w:val="28"/>
        </w:rPr>
        <w:tab/>
      </w:r>
      <w:r w:rsidR="000B5B99">
        <w:rPr>
          <w:sz w:val="28"/>
          <w:szCs w:val="28"/>
        </w:rPr>
        <w:tab/>
      </w:r>
      <w:r w:rsidR="000B5B99">
        <w:rPr>
          <w:sz w:val="28"/>
          <w:szCs w:val="28"/>
        </w:rPr>
        <w:tab/>
        <w:t xml:space="preserve"> </w:t>
      </w:r>
      <w:proofErr w:type="spellStart"/>
      <w:r w:rsidR="000B5B99">
        <w:rPr>
          <w:sz w:val="28"/>
          <w:szCs w:val="28"/>
        </w:rPr>
        <w:t>Н.А.</w:t>
      </w:r>
      <w:r>
        <w:rPr>
          <w:sz w:val="28"/>
          <w:szCs w:val="28"/>
        </w:rPr>
        <w:t>Чичков</w:t>
      </w:r>
      <w:proofErr w:type="spellEnd"/>
    </w:p>
    <w:p w:rsidR="000B5B99" w:rsidRDefault="000B5B9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15C3D" w:rsidRDefault="00715C3D" w:rsidP="00715C3D">
      <w:pPr>
        <w:ind w:left="5670"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15C3D" w:rsidRPr="00ED1DB0" w:rsidRDefault="00715C3D" w:rsidP="00715C3D">
      <w:pPr>
        <w:ind w:left="5387" w:right="-2"/>
        <w:jc w:val="both"/>
        <w:rPr>
          <w:sz w:val="28"/>
          <w:szCs w:val="28"/>
        </w:rPr>
      </w:pPr>
      <w:r w:rsidRPr="00ED1DB0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Бутурлинского </w:t>
      </w:r>
      <w:r w:rsidRPr="00ED1DB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 xml:space="preserve">от </w:t>
      </w:r>
      <w:proofErr w:type="gramStart"/>
      <w:r w:rsidR="000B5B99">
        <w:rPr>
          <w:sz w:val="28"/>
          <w:szCs w:val="28"/>
        </w:rPr>
        <w:t xml:space="preserve">28.11.2024 </w:t>
      </w:r>
      <w:r w:rsidR="006E2808">
        <w:rPr>
          <w:sz w:val="28"/>
          <w:szCs w:val="28"/>
        </w:rPr>
        <w:t xml:space="preserve"> №</w:t>
      </w:r>
      <w:proofErr w:type="gramEnd"/>
      <w:r w:rsidR="006E2808">
        <w:rPr>
          <w:sz w:val="28"/>
          <w:szCs w:val="28"/>
        </w:rPr>
        <w:t xml:space="preserve"> </w:t>
      </w:r>
      <w:r w:rsidR="000B5B99">
        <w:rPr>
          <w:sz w:val="28"/>
          <w:szCs w:val="28"/>
        </w:rPr>
        <w:t>1903</w:t>
      </w:r>
    </w:p>
    <w:p w:rsidR="00715C3D" w:rsidRPr="00ED1DB0" w:rsidRDefault="00715C3D" w:rsidP="00715C3D">
      <w:pPr>
        <w:ind w:right="-2"/>
        <w:jc w:val="right"/>
        <w:rPr>
          <w:sz w:val="28"/>
          <w:szCs w:val="28"/>
        </w:rPr>
      </w:pPr>
    </w:p>
    <w:p w:rsidR="006E2808" w:rsidRDefault="006E2808" w:rsidP="00715C3D">
      <w:pPr>
        <w:autoSpaceDE w:val="0"/>
        <w:autoSpaceDN w:val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Порядок</w:t>
      </w:r>
    </w:p>
    <w:p w:rsidR="006E2808" w:rsidRDefault="006E2808" w:rsidP="00715C3D">
      <w:pPr>
        <w:autoSpaceDE w:val="0"/>
        <w:autoSpaceDN w:val="0"/>
        <w:jc w:val="center"/>
        <w:rPr>
          <w:b/>
          <w:color w:val="000000"/>
          <w:sz w:val="28"/>
        </w:rPr>
      </w:pPr>
      <w:r w:rsidRPr="006E2808">
        <w:rPr>
          <w:b/>
          <w:color w:val="000000"/>
          <w:sz w:val="28"/>
        </w:rPr>
        <w:t>использования предоставленной бюджету Бутурлинского муниципального округа из бюджета Нижегородской области дотации на поощрение за достижение наилучших результатов по разработке и внедрению проектов по бережливости</w:t>
      </w:r>
    </w:p>
    <w:p w:rsidR="00715C3D" w:rsidRPr="00ED1DB0" w:rsidRDefault="00715C3D" w:rsidP="00715C3D">
      <w:pPr>
        <w:autoSpaceDE w:val="0"/>
        <w:autoSpaceDN w:val="0"/>
        <w:jc w:val="center"/>
        <w:rPr>
          <w:rFonts w:eastAsia="Calibri"/>
          <w:b/>
          <w:sz w:val="28"/>
          <w:szCs w:val="28"/>
        </w:rPr>
      </w:pPr>
      <w:r>
        <w:rPr>
          <w:color w:val="000000"/>
          <w:sz w:val="28"/>
        </w:rPr>
        <w:t>(далее – Порядок)</w:t>
      </w:r>
    </w:p>
    <w:p w:rsidR="00715C3D" w:rsidRPr="00ED1DB0" w:rsidRDefault="00715C3D" w:rsidP="00715C3D">
      <w:pPr>
        <w:autoSpaceDE w:val="0"/>
        <w:autoSpaceDN w:val="0"/>
        <w:ind w:right="-2"/>
        <w:jc w:val="center"/>
        <w:rPr>
          <w:rFonts w:eastAsia="Calibri"/>
          <w:sz w:val="28"/>
          <w:szCs w:val="28"/>
        </w:rPr>
      </w:pPr>
    </w:p>
    <w:p w:rsidR="00715C3D" w:rsidRPr="000D2947" w:rsidRDefault="00715C3D" w:rsidP="000D294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D5D83">
        <w:rPr>
          <w:rFonts w:eastAsia="Calibri"/>
          <w:sz w:val="28"/>
          <w:szCs w:val="28"/>
        </w:rPr>
        <w:t xml:space="preserve">1. Настоящий Порядок определяет подходы к использованию и направления расходования дотации </w:t>
      </w:r>
      <w:r w:rsidR="006E2808" w:rsidRPr="006E2808">
        <w:rPr>
          <w:rFonts w:eastAsia="Calibri"/>
          <w:sz w:val="28"/>
          <w:szCs w:val="28"/>
        </w:rPr>
        <w:t>на поощрение за достижение наилучших результатов по разработке и внедрению проектов по бережливости</w:t>
      </w:r>
      <w:r w:rsidRPr="005D5D83">
        <w:rPr>
          <w:rFonts w:eastAsia="Calibri"/>
          <w:sz w:val="28"/>
          <w:szCs w:val="28"/>
        </w:rPr>
        <w:t xml:space="preserve"> (далее – дотация), предоставленной </w:t>
      </w:r>
      <w:r w:rsidR="000D2947">
        <w:rPr>
          <w:rFonts w:eastAsia="Calibri"/>
          <w:sz w:val="28"/>
          <w:szCs w:val="28"/>
        </w:rPr>
        <w:t xml:space="preserve">в 2024 году </w:t>
      </w:r>
      <w:r w:rsidRPr="005D5D83">
        <w:rPr>
          <w:rFonts w:eastAsia="Calibri"/>
          <w:sz w:val="28"/>
          <w:szCs w:val="28"/>
        </w:rPr>
        <w:t xml:space="preserve">бюджету Бутурлинского муниципального округа Нижегородской области из бюджета Нижегородской области в соответствии </w:t>
      </w:r>
      <w:r>
        <w:rPr>
          <w:rFonts w:eastAsia="Calibri"/>
          <w:sz w:val="28"/>
          <w:szCs w:val="28"/>
        </w:rPr>
        <w:t xml:space="preserve">с </w:t>
      </w:r>
      <w:r w:rsidRPr="0066311C">
        <w:rPr>
          <w:rFonts w:eastAsia="Calibri"/>
          <w:sz w:val="28"/>
          <w:szCs w:val="28"/>
        </w:rPr>
        <w:t>Зако</w:t>
      </w:r>
      <w:r>
        <w:rPr>
          <w:rFonts w:eastAsia="Calibri"/>
          <w:sz w:val="28"/>
          <w:szCs w:val="28"/>
        </w:rPr>
        <w:t>ном Нижегородской области от 22.12.</w:t>
      </w:r>
      <w:r w:rsidRPr="0066311C">
        <w:rPr>
          <w:rFonts w:eastAsia="Calibri"/>
          <w:sz w:val="28"/>
          <w:szCs w:val="28"/>
        </w:rPr>
        <w:t xml:space="preserve">2023 </w:t>
      </w:r>
      <w:r>
        <w:rPr>
          <w:rFonts w:eastAsia="Calibri"/>
          <w:sz w:val="28"/>
          <w:szCs w:val="28"/>
        </w:rPr>
        <w:t>№</w:t>
      </w:r>
      <w:r w:rsidRPr="0066311C">
        <w:rPr>
          <w:rFonts w:eastAsia="Calibri"/>
          <w:sz w:val="28"/>
          <w:szCs w:val="28"/>
        </w:rPr>
        <w:t xml:space="preserve"> 165-З </w:t>
      </w:r>
      <w:r>
        <w:rPr>
          <w:rFonts w:eastAsia="Calibri"/>
          <w:sz w:val="28"/>
          <w:szCs w:val="28"/>
        </w:rPr>
        <w:t>«</w:t>
      </w:r>
      <w:r w:rsidRPr="0066311C">
        <w:rPr>
          <w:rFonts w:eastAsia="Calibri"/>
          <w:sz w:val="28"/>
          <w:szCs w:val="28"/>
        </w:rPr>
        <w:t>Об областном бюджете на 2024 год и на плановый период 2025 и 2026 годов</w:t>
      </w:r>
      <w:r>
        <w:rPr>
          <w:rFonts w:eastAsia="Calibri"/>
          <w:sz w:val="28"/>
          <w:szCs w:val="28"/>
        </w:rPr>
        <w:t>»</w:t>
      </w:r>
      <w:r w:rsidRPr="0066311C">
        <w:rPr>
          <w:rFonts w:eastAsia="Calibri"/>
          <w:sz w:val="28"/>
          <w:szCs w:val="28"/>
        </w:rPr>
        <w:t xml:space="preserve">, </w:t>
      </w:r>
      <w:r w:rsidR="006E2808">
        <w:rPr>
          <w:rFonts w:eastAsia="Calibri"/>
          <w:sz w:val="28"/>
          <w:szCs w:val="28"/>
        </w:rPr>
        <w:t>п</w:t>
      </w:r>
      <w:r w:rsidR="006E2808" w:rsidRPr="006E2808">
        <w:rPr>
          <w:rFonts w:eastAsia="Calibri"/>
          <w:sz w:val="28"/>
          <w:szCs w:val="28"/>
        </w:rPr>
        <w:t xml:space="preserve">остановление Правительства Нижегородской области от 26.08.2024 </w:t>
      </w:r>
      <w:r w:rsidR="006E2808">
        <w:rPr>
          <w:rFonts w:eastAsia="Calibri"/>
          <w:sz w:val="28"/>
          <w:szCs w:val="28"/>
        </w:rPr>
        <w:t>№</w:t>
      </w:r>
      <w:r w:rsidR="006E2808" w:rsidRPr="006E2808">
        <w:rPr>
          <w:rFonts w:eastAsia="Calibri"/>
          <w:sz w:val="28"/>
          <w:szCs w:val="28"/>
        </w:rPr>
        <w:t xml:space="preserve"> 481</w:t>
      </w:r>
      <w:r w:rsidR="006E2808">
        <w:rPr>
          <w:rFonts w:eastAsia="Calibri"/>
          <w:sz w:val="28"/>
          <w:szCs w:val="28"/>
        </w:rPr>
        <w:t xml:space="preserve"> «</w:t>
      </w:r>
      <w:r w:rsidR="006E2808" w:rsidRPr="006E2808">
        <w:rPr>
          <w:rFonts w:eastAsia="Calibri"/>
          <w:sz w:val="28"/>
          <w:szCs w:val="28"/>
        </w:rPr>
        <w:t>Об утверждении Порядка предоставления из областного бюджета бюджетам муниципальных округов и городских округов Нижегородской области дотаций на поощрение за достижение наилучших результатов по разработке и внедрению проектов по бережливости</w:t>
      </w:r>
      <w:r w:rsidR="006E2808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и </w:t>
      </w:r>
      <w:r w:rsidRPr="005D5D83">
        <w:rPr>
          <w:rFonts w:eastAsia="Calibri"/>
          <w:sz w:val="28"/>
          <w:szCs w:val="28"/>
        </w:rPr>
        <w:t xml:space="preserve">постановлением Правительства Нижегородской области </w:t>
      </w:r>
      <w:r w:rsidRPr="005D5D83">
        <w:rPr>
          <w:sz w:val="28"/>
          <w:szCs w:val="28"/>
        </w:rPr>
        <w:t xml:space="preserve">от </w:t>
      </w:r>
      <w:r w:rsidR="000D2947">
        <w:rPr>
          <w:sz w:val="28"/>
          <w:szCs w:val="28"/>
        </w:rPr>
        <w:t>01.11</w:t>
      </w:r>
      <w:r w:rsidRPr="005D5D83">
        <w:rPr>
          <w:sz w:val="28"/>
          <w:szCs w:val="28"/>
        </w:rPr>
        <w:t xml:space="preserve">.2024 </w:t>
      </w:r>
      <w:r>
        <w:rPr>
          <w:sz w:val="28"/>
          <w:szCs w:val="28"/>
        </w:rPr>
        <w:t>№</w:t>
      </w:r>
      <w:r w:rsidRPr="005D5D83">
        <w:rPr>
          <w:sz w:val="28"/>
          <w:szCs w:val="28"/>
        </w:rPr>
        <w:t xml:space="preserve"> </w:t>
      </w:r>
      <w:r w:rsidR="000D2947">
        <w:rPr>
          <w:sz w:val="28"/>
          <w:szCs w:val="28"/>
        </w:rPr>
        <w:t>674</w:t>
      </w:r>
      <w:r>
        <w:rPr>
          <w:sz w:val="28"/>
          <w:szCs w:val="28"/>
        </w:rPr>
        <w:t xml:space="preserve"> «</w:t>
      </w:r>
      <w:r w:rsidR="000D2947">
        <w:rPr>
          <w:sz w:val="28"/>
          <w:szCs w:val="28"/>
        </w:rPr>
        <w:t>Об утверждении распределения дотаций бюджетам муниципальных округов и городских округов Нижегородской области на поощрение за достижение наилучших результатов по разработке и внедрению проектов по бережливости на 2024 год</w:t>
      </w:r>
      <w:r>
        <w:rPr>
          <w:sz w:val="28"/>
          <w:szCs w:val="28"/>
        </w:rPr>
        <w:t>».</w:t>
      </w:r>
    </w:p>
    <w:p w:rsidR="00715C3D" w:rsidRDefault="00715C3D" w:rsidP="000D2947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D5D83">
        <w:rPr>
          <w:rFonts w:eastAsia="Calibri"/>
          <w:sz w:val="28"/>
          <w:szCs w:val="28"/>
        </w:rPr>
        <w:t>2. Бюджетные ассигнования бюджета Бутурлинского муниципального</w:t>
      </w:r>
      <w:r>
        <w:rPr>
          <w:rFonts w:eastAsia="Calibri"/>
          <w:sz w:val="28"/>
          <w:szCs w:val="28"/>
        </w:rPr>
        <w:t xml:space="preserve"> округа (далее – бюджет округа) за счет средств дотации</w:t>
      </w:r>
      <w:r w:rsidRPr="00FE6117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направляются на</w:t>
      </w:r>
      <w:r w:rsidRPr="00617A3B">
        <w:rPr>
          <w:rFonts w:eastAsia="Calibri"/>
          <w:sz w:val="28"/>
          <w:szCs w:val="28"/>
        </w:rPr>
        <w:t xml:space="preserve"> финансово</w:t>
      </w:r>
      <w:r>
        <w:rPr>
          <w:rFonts w:eastAsia="Calibri"/>
          <w:sz w:val="28"/>
          <w:szCs w:val="28"/>
        </w:rPr>
        <w:t>е</w:t>
      </w:r>
      <w:r w:rsidRPr="00617A3B">
        <w:rPr>
          <w:rFonts w:eastAsia="Calibri"/>
          <w:sz w:val="28"/>
          <w:szCs w:val="28"/>
        </w:rPr>
        <w:t xml:space="preserve"> обеспечени</w:t>
      </w:r>
      <w:r>
        <w:rPr>
          <w:rFonts w:eastAsia="Calibri"/>
          <w:sz w:val="28"/>
          <w:szCs w:val="28"/>
        </w:rPr>
        <w:t>е</w:t>
      </w:r>
      <w:r w:rsidRPr="00617A3B">
        <w:rPr>
          <w:rFonts w:eastAsia="Calibri"/>
          <w:sz w:val="28"/>
          <w:szCs w:val="28"/>
        </w:rPr>
        <w:t xml:space="preserve"> расход</w:t>
      </w:r>
      <w:r>
        <w:rPr>
          <w:rFonts w:eastAsia="Calibri"/>
          <w:sz w:val="28"/>
          <w:szCs w:val="28"/>
        </w:rPr>
        <w:t>ных</w:t>
      </w:r>
      <w:r w:rsidRPr="00617A3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обязательств главных распорядителей средств бюджета округа как получателей средств бюджета округа, возникающих при реализации мероприятий, предусмотренных П</w:t>
      </w:r>
      <w:r w:rsidRPr="009D6F91">
        <w:rPr>
          <w:rFonts w:eastAsia="Calibri"/>
          <w:sz w:val="28"/>
          <w:szCs w:val="28"/>
        </w:rPr>
        <w:t>еречнем</w:t>
      </w:r>
      <w:r>
        <w:rPr>
          <w:rFonts w:eastAsia="Calibri"/>
          <w:sz w:val="28"/>
          <w:szCs w:val="28"/>
        </w:rPr>
        <w:t xml:space="preserve"> мероприятий</w:t>
      </w:r>
      <w:r w:rsidRPr="009D6F91">
        <w:rPr>
          <w:rFonts w:eastAsia="Calibri"/>
          <w:sz w:val="28"/>
          <w:szCs w:val="28"/>
        </w:rPr>
        <w:t>, утверждаемым постановлением администрации округа</w:t>
      </w:r>
      <w:r>
        <w:rPr>
          <w:rFonts w:eastAsia="Calibri"/>
          <w:sz w:val="28"/>
          <w:szCs w:val="28"/>
        </w:rPr>
        <w:t xml:space="preserve"> </w:t>
      </w:r>
      <w:r w:rsidRPr="0066311C">
        <w:rPr>
          <w:rFonts w:eastAsia="Calibri"/>
          <w:sz w:val="28"/>
          <w:szCs w:val="28"/>
        </w:rPr>
        <w:t>(далее – Перечень мероприятий</w:t>
      </w:r>
      <w:r>
        <w:rPr>
          <w:rFonts w:eastAsia="Calibri"/>
          <w:sz w:val="28"/>
          <w:szCs w:val="28"/>
        </w:rPr>
        <w:t>,</w:t>
      </w:r>
      <w:r w:rsidRPr="0066311C">
        <w:rPr>
          <w:rFonts w:eastAsia="Calibri"/>
          <w:sz w:val="28"/>
          <w:szCs w:val="28"/>
        </w:rPr>
        <w:t xml:space="preserve"> получател</w:t>
      </w:r>
      <w:r>
        <w:rPr>
          <w:rFonts w:eastAsia="Calibri"/>
          <w:sz w:val="28"/>
          <w:szCs w:val="28"/>
        </w:rPr>
        <w:t>и</w:t>
      </w:r>
      <w:r w:rsidRPr="0066311C">
        <w:rPr>
          <w:rFonts w:eastAsia="Calibri"/>
          <w:sz w:val="28"/>
          <w:szCs w:val="28"/>
        </w:rPr>
        <w:t xml:space="preserve"> средств бюджета</w:t>
      </w:r>
      <w:r>
        <w:rPr>
          <w:rFonts w:eastAsia="Calibri"/>
          <w:sz w:val="28"/>
          <w:szCs w:val="28"/>
        </w:rPr>
        <w:t xml:space="preserve"> соответственно</w:t>
      </w:r>
      <w:r w:rsidRPr="0066311C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:rsidR="00715C3D" w:rsidRPr="008D150C" w:rsidRDefault="00715C3D" w:rsidP="000D2947">
      <w:pPr>
        <w:pStyle w:val="a4"/>
        <w:spacing w:before="0" w:beforeAutospacing="0" w:after="0" w:afterAutospacing="0"/>
        <w:ind w:firstLine="540"/>
        <w:jc w:val="both"/>
      </w:pPr>
      <w:r w:rsidRPr="008D150C">
        <w:rPr>
          <w:rFonts w:eastAsia="Calibri"/>
          <w:sz w:val="28"/>
          <w:szCs w:val="28"/>
        </w:rPr>
        <w:t xml:space="preserve">3. В Перечень мероприятий могут быть включены мероприятия, </w:t>
      </w:r>
      <w:r>
        <w:rPr>
          <w:rFonts w:eastAsia="Calibri"/>
          <w:sz w:val="28"/>
          <w:szCs w:val="28"/>
        </w:rPr>
        <w:t xml:space="preserve">финансовое обеспечение </w:t>
      </w:r>
      <w:r w:rsidRPr="008D150C">
        <w:rPr>
          <w:rFonts w:eastAsia="Calibri"/>
          <w:sz w:val="28"/>
          <w:szCs w:val="28"/>
        </w:rPr>
        <w:t>реализаци</w:t>
      </w:r>
      <w:r>
        <w:rPr>
          <w:rFonts w:eastAsia="Calibri"/>
          <w:sz w:val="28"/>
          <w:szCs w:val="28"/>
        </w:rPr>
        <w:t>и</w:t>
      </w:r>
      <w:r w:rsidRPr="008D150C">
        <w:rPr>
          <w:rFonts w:eastAsia="Calibri"/>
          <w:sz w:val="28"/>
          <w:szCs w:val="28"/>
        </w:rPr>
        <w:t xml:space="preserve"> которых отнесен</w:t>
      </w:r>
      <w:r>
        <w:rPr>
          <w:rFonts w:eastAsia="Calibri"/>
          <w:sz w:val="28"/>
          <w:szCs w:val="28"/>
        </w:rPr>
        <w:t>о</w:t>
      </w:r>
      <w:r w:rsidRPr="008D150C">
        <w:rPr>
          <w:rFonts w:eastAsia="Calibri"/>
          <w:sz w:val="28"/>
          <w:szCs w:val="28"/>
        </w:rPr>
        <w:t xml:space="preserve"> к полномочиям органов местного самоуправления Бутурлинского муниципального округа</w:t>
      </w:r>
      <w:r>
        <w:rPr>
          <w:rFonts w:eastAsia="Calibri"/>
          <w:sz w:val="28"/>
          <w:szCs w:val="28"/>
        </w:rPr>
        <w:t>,</w:t>
      </w:r>
      <w:r w:rsidRPr="008D150C">
        <w:rPr>
          <w:rFonts w:eastAsia="Calibri"/>
          <w:sz w:val="28"/>
          <w:szCs w:val="28"/>
        </w:rPr>
        <w:t xml:space="preserve"> без ограничения направлений их использования.</w:t>
      </w:r>
      <w:r w:rsidRPr="008D150C">
        <w:t xml:space="preserve"> </w:t>
      </w:r>
    </w:p>
    <w:p w:rsidR="00715C3D" w:rsidRDefault="00715C3D" w:rsidP="000D2947">
      <w:pPr>
        <w:autoSpaceDE w:val="0"/>
        <w:autoSpaceDN w:val="0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877224">
        <w:rPr>
          <w:rFonts w:eastAsia="Calibri"/>
          <w:sz w:val="28"/>
          <w:szCs w:val="28"/>
        </w:rPr>
        <w:t xml:space="preserve">Расходы </w:t>
      </w:r>
      <w:r>
        <w:rPr>
          <w:rFonts w:eastAsia="Calibri"/>
          <w:sz w:val="28"/>
          <w:szCs w:val="28"/>
        </w:rPr>
        <w:t xml:space="preserve">бюджета округа на цели, предусмотренные пунктами 2 и 3 настоящего Порядка, </w:t>
      </w:r>
      <w:r w:rsidRPr="00877224">
        <w:rPr>
          <w:rFonts w:eastAsia="Calibri"/>
          <w:sz w:val="28"/>
          <w:szCs w:val="28"/>
        </w:rPr>
        <w:t xml:space="preserve">осуществляются в пределах лимитов бюджетных обязательств, утвержденных в установленном порядке главным распорядителям бюджетных средств </w:t>
      </w:r>
      <w:r>
        <w:rPr>
          <w:rFonts w:eastAsia="Calibri"/>
          <w:sz w:val="28"/>
          <w:szCs w:val="28"/>
        </w:rPr>
        <w:t xml:space="preserve">бюджета округа </w:t>
      </w:r>
      <w:r w:rsidRPr="00877224">
        <w:rPr>
          <w:rFonts w:eastAsia="Calibri"/>
          <w:sz w:val="28"/>
          <w:szCs w:val="28"/>
        </w:rPr>
        <w:t xml:space="preserve">на соответствующий </w:t>
      </w:r>
      <w:r w:rsidRPr="00877224">
        <w:rPr>
          <w:rFonts w:eastAsia="Calibri"/>
          <w:sz w:val="28"/>
          <w:szCs w:val="28"/>
        </w:rPr>
        <w:lastRenderedPageBreak/>
        <w:t xml:space="preserve">финансовый год, которым как получателям средств бюджета округа доведены лимиты бюджетных обязательств </w:t>
      </w:r>
      <w:r>
        <w:rPr>
          <w:rFonts w:eastAsia="Calibri"/>
          <w:sz w:val="28"/>
          <w:szCs w:val="28"/>
        </w:rPr>
        <w:t>за счет средств дотации.</w:t>
      </w:r>
    </w:p>
    <w:p w:rsidR="00715C3D" w:rsidRPr="00ED1DB0" w:rsidRDefault="00715C3D" w:rsidP="000D2947">
      <w:pPr>
        <w:autoSpaceDE w:val="0"/>
        <w:autoSpaceDN w:val="0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877224">
        <w:rPr>
          <w:rFonts w:eastAsia="Calibri"/>
          <w:sz w:val="28"/>
          <w:szCs w:val="28"/>
        </w:rPr>
        <w:t xml:space="preserve">Не использованные на начало </w:t>
      </w:r>
      <w:r>
        <w:rPr>
          <w:rFonts w:eastAsia="Calibri"/>
          <w:sz w:val="28"/>
          <w:szCs w:val="28"/>
        </w:rPr>
        <w:t>очередного финансового года</w:t>
      </w:r>
      <w:r w:rsidRPr="00877224">
        <w:rPr>
          <w:rFonts w:eastAsia="Calibri"/>
          <w:sz w:val="28"/>
          <w:szCs w:val="28"/>
        </w:rPr>
        <w:t xml:space="preserve"> остатки </w:t>
      </w:r>
      <w:r>
        <w:rPr>
          <w:rFonts w:eastAsia="Calibri"/>
          <w:sz w:val="28"/>
          <w:szCs w:val="28"/>
        </w:rPr>
        <w:t>средств дотации</w:t>
      </w:r>
      <w:r w:rsidRPr="00877224">
        <w:rPr>
          <w:rFonts w:eastAsia="Calibri"/>
          <w:sz w:val="28"/>
          <w:szCs w:val="28"/>
        </w:rPr>
        <w:t xml:space="preserve"> возврату в бюджет</w:t>
      </w:r>
      <w:r>
        <w:rPr>
          <w:rFonts w:eastAsia="Calibri"/>
          <w:sz w:val="28"/>
          <w:szCs w:val="28"/>
        </w:rPr>
        <w:t xml:space="preserve"> Нижегородской области</w:t>
      </w:r>
      <w:r w:rsidRPr="00877224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не подлежат</w:t>
      </w:r>
      <w:r w:rsidRPr="00877224">
        <w:rPr>
          <w:rFonts w:eastAsia="Calibri"/>
          <w:sz w:val="28"/>
          <w:szCs w:val="28"/>
        </w:rPr>
        <w:t>.</w:t>
      </w:r>
    </w:p>
    <w:p w:rsidR="00715C3D" w:rsidRDefault="00715C3D" w:rsidP="000D2947">
      <w:pPr>
        <w:autoSpaceDE w:val="0"/>
        <w:autoSpaceDN w:val="0"/>
        <w:ind w:right="-2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Pr="00ED1DB0">
        <w:rPr>
          <w:rFonts w:eastAsia="Calibri"/>
          <w:sz w:val="28"/>
          <w:szCs w:val="28"/>
        </w:rPr>
        <w:t xml:space="preserve">. </w:t>
      </w:r>
      <w:r w:rsidRPr="003648E3">
        <w:rPr>
          <w:rFonts w:eastAsia="Calibri"/>
          <w:sz w:val="28"/>
          <w:szCs w:val="28"/>
        </w:rPr>
        <w:t xml:space="preserve">Ответственность и контроль за целевым использованием </w:t>
      </w:r>
      <w:r>
        <w:rPr>
          <w:rFonts w:eastAsia="Calibri"/>
          <w:sz w:val="28"/>
          <w:szCs w:val="28"/>
        </w:rPr>
        <w:t xml:space="preserve">средств дотации </w:t>
      </w:r>
      <w:r w:rsidRPr="003648E3">
        <w:rPr>
          <w:rFonts w:eastAsia="Calibri"/>
          <w:sz w:val="28"/>
          <w:szCs w:val="28"/>
        </w:rPr>
        <w:t xml:space="preserve">возлагается на </w:t>
      </w:r>
      <w:r>
        <w:rPr>
          <w:rFonts w:eastAsia="Calibri"/>
          <w:sz w:val="28"/>
          <w:szCs w:val="28"/>
        </w:rPr>
        <w:t>получателей средств бюджета округа</w:t>
      </w:r>
      <w:r w:rsidRPr="003648E3">
        <w:rPr>
          <w:rFonts w:eastAsia="Calibri"/>
          <w:sz w:val="28"/>
          <w:szCs w:val="28"/>
        </w:rPr>
        <w:t>.</w:t>
      </w:r>
    </w:p>
    <w:p w:rsidR="000B5B99" w:rsidRDefault="000B5B99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</w:p>
    <w:p w:rsidR="00715C3D" w:rsidRDefault="00715C3D" w:rsidP="00715C3D">
      <w:pPr>
        <w:ind w:left="5670" w:right="-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715C3D" w:rsidRPr="00ED1DB0" w:rsidRDefault="00715C3D" w:rsidP="00715C3D">
      <w:pPr>
        <w:ind w:left="5387" w:right="-2"/>
        <w:jc w:val="both"/>
        <w:rPr>
          <w:sz w:val="28"/>
          <w:szCs w:val="28"/>
        </w:rPr>
      </w:pPr>
      <w:r w:rsidRPr="00ED1DB0">
        <w:rPr>
          <w:sz w:val="28"/>
          <w:szCs w:val="28"/>
        </w:rPr>
        <w:t>постановлением администрации</w:t>
      </w:r>
      <w:r>
        <w:rPr>
          <w:sz w:val="28"/>
          <w:szCs w:val="28"/>
        </w:rPr>
        <w:t xml:space="preserve"> Бутурлинского </w:t>
      </w:r>
      <w:r w:rsidRPr="00ED1DB0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</w:t>
      </w:r>
      <w:r w:rsidRPr="00ED1DB0">
        <w:rPr>
          <w:sz w:val="28"/>
          <w:szCs w:val="28"/>
        </w:rPr>
        <w:t xml:space="preserve">от </w:t>
      </w:r>
      <w:r w:rsidR="000B5B99">
        <w:rPr>
          <w:sz w:val="28"/>
          <w:szCs w:val="28"/>
        </w:rPr>
        <w:t xml:space="preserve">28.11.2024 </w:t>
      </w:r>
      <w:r w:rsidRPr="00ED1DB0">
        <w:rPr>
          <w:sz w:val="28"/>
          <w:szCs w:val="28"/>
        </w:rPr>
        <w:t>№</w:t>
      </w:r>
      <w:r w:rsidR="000B5B99">
        <w:rPr>
          <w:sz w:val="28"/>
          <w:szCs w:val="28"/>
        </w:rPr>
        <w:t>1903</w:t>
      </w:r>
      <w:bookmarkStart w:id="0" w:name="_GoBack"/>
      <w:bookmarkEnd w:id="0"/>
    </w:p>
    <w:p w:rsidR="00715C3D" w:rsidRDefault="00715C3D" w:rsidP="00715C3D">
      <w:pPr>
        <w:tabs>
          <w:tab w:val="left" w:pos="142"/>
        </w:tabs>
        <w:autoSpaceDE w:val="0"/>
        <w:autoSpaceDN w:val="0"/>
        <w:spacing w:line="360" w:lineRule="auto"/>
        <w:ind w:right="-2"/>
        <w:jc w:val="both"/>
        <w:rPr>
          <w:rFonts w:eastAsia="Calibri"/>
          <w:sz w:val="28"/>
          <w:szCs w:val="28"/>
        </w:rPr>
      </w:pPr>
    </w:p>
    <w:p w:rsidR="00715C3D" w:rsidRPr="000C25D7" w:rsidRDefault="00715C3D" w:rsidP="00715C3D">
      <w:pPr>
        <w:autoSpaceDE w:val="0"/>
        <w:autoSpaceDN w:val="0"/>
        <w:jc w:val="center"/>
        <w:rPr>
          <w:b/>
          <w:color w:val="000000"/>
          <w:sz w:val="28"/>
          <w:szCs w:val="28"/>
        </w:rPr>
      </w:pPr>
      <w:r w:rsidRPr="000C25D7">
        <w:rPr>
          <w:b/>
          <w:color w:val="000000"/>
          <w:sz w:val="28"/>
          <w:szCs w:val="28"/>
        </w:rPr>
        <w:t>Перечень</w:t>
      </w:r>
    </w:p>
    <w:p w:rsidR="00715C3D" w:rsidRPr="002B74EC" w:rsidRDefault="00715C3D" w:rsidP="002B74EC">
      <w:pPr>
        <w:autoSpaceDE w:val="0"/>
        <w:autoSpaceDN w:val="0"/>
        <w:jc w:val="center"/>
        <w:rPr>
          <w:b/>
          <w:color w:val="000000"/>
          <w:sz w:val="28"/>
        </w:rPr>
      </w:pPr>
      <w:r w:rsidRPr="000C25D7">
        <w:rPr>
          <w:b/>
          <w:color w:val="000000"/>
          <w:sz w:val="28"/>
          <w:szCs w:val="28"/>
        </w:rPr>
        <w:t xml:space="preserve">мероприятий, на финансовое обеспечение расходов по которым направляются средства предоставленной бюджету Бутурлинского муниципального округа из бюджета Нижегородской области </w:t>
      </w:r>
      <w:r w:rsidRPr="000C25D7">
        <w:rPr>
          <w:b/>
          <w:color w:val="000000"/>
          <w:sz w:val="28"/>
        </w:rPr>
        <w:t xml:space="preserve">дотации на </w:t>
      </w:r>
      <w:r w:rsidR="002B74EC" w:rsidRPr="002B74EC">
        <w:rPr>
          <w:b/>
          <w:color w:val="000000"/>
          <w:sz w:val="28"/>
        </w:rPr>
        <w:t>поощрение за достижение наилучших результатов по разработке и внедрению проектов по бережливости</w:t>
      </w:r>
      <w:r w:rsidRPr="000C25D7">
        <w:rPr>
          <w:b/>
          <w:color w:val="000000"/>
          <w:sz w:val="28"/>
        </w:rPr>
        <w:t xml:space="preserve">, </w:t>
      </w:r>
      <w:r w:rsidRPr="000C25D7">
        <w:rPr>
          <w:b/>
          <w:color w:val="000000"/>
          <w:sz w:val="28"/>
          <w:szCs w:val="28"/>
        </w:rPr>
        <w:t>и главных распорядителей бюджетных средств как получателей бюджетных средств,</w:t>
      </w:r>
      <w:r w:rsidRPr="000C25D7">
        <w:rPr>
          <w:b/>
        </w:rPr>
        <w:t xml:space="preserve"> </w:t>
      </w:r>
      <w:r w:rsidRPr="000C25D7">
        <w:rPr>
          <w:b/>
          <w:color w:val="000000"/>
          <w:sz w:val="28"/>
          <w:szCs w:val="28"/>
        </w:rPr>
        <w:t>имеющие право на принятие и (или) исполнение бюджетных обязательств за счет средств данной дотации</w:t>
      </w:r>
    </w:p>
    <w:p w:rsidR="00715C3D" w:rsidRDefault="00715C3D" w:rsidP="00715C3D">
      <w:pPr>
        <w:autoSpaceDE w:val="0"/>
        <w:autoSpaceDN w:val="0"/>
        <w:jc w:val="center"/>
        <w:rPr>
          <w:color w:val="000000"/>
          <w:sz w:val="28"/>
        </w:rPr>
      </w:pPr>
    </w:p>
    <w:tbl>
      <w:tblPr>
        <w:tblStyle w:val="1"/>
        <w:tblW w:w="10104" w:type="dxa"/>
        <w:tblInd w:w="-318" w:type="dxa"/>
        <w:tblLook w:val="04A0" w:firstRow="1" w:lastRow="0" w:firstColumn="1" w:lastColumn="0" w:noHBand="0" w:noVBand="1"/>
      </w:tblPr>
      <w:tblGrid>
        <w:gridCol w:w="576"/>
        <w:gridCol w:w="2118"/>
        <w:gridCol w:w="5670"/>
        <w:gridCol w:w="1740"/>
      </w:tblGrid>
      <w:tr w:rsidR="00715C3D" w:rsidRPr="00CC0941" w:rsidTr="00A95A3A">
        <w:tc>
          <w:tcPr>
            <w:tcW w:w="576" w:type="dxa"/>
            <w:vAlign w:val="center"/>
          </w:tcPr>
          <w:p w:rsidR="00715C3D" w:rsidRPr="00CC0941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C0941">
              <w:rPr>
                <w:b/>
                <w:sz w:val="20"/>
                <w:szCs w:val="20"/>
              </w:rPr>
              <w:t xml:space="preserve">№ </w:t>
            </w:r>
            <w:proofErr w:type="spellStart"/>
            <w:r w:rsidRPr="00CC0941">
              <w:rPr>
                <w:b/>
                <w:sz w:val="20"/>
                <w:szCs w:val="20"/>
              </w:rPr>
              <w:t>п.п</w:t>
            </w:r>
            <w:proofErr w:type="spellEnd"/>
            <w:r w:rsidRPr="00CC0941">
              <w:rPr>
                <w:b/>
                <w:sz w:val="20"/>
                <w:szCs w:val="20"/>
              </w:rPr>
              <w:t>.</w:t>
            </w:r>
          </w:p>
          <w:p w:rsidR="00715C3D" w:rsidRPr="00CC0941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18" w:type="dxa"/>
            <w:vAlign w:val="center"/>
          </w:tcPr>
          <w:p w:rsidR="00715C3D" w:rsidRPr="00CC0941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C0941">
              <w:rPr>
                <w:b/>
                <w:sz w:val="20"/>
                <w:szCs w:val="20"/>
              </w:rPr>
              <w:t xml:space="preserve">Наименование главного </w:t>
            </w:r>
          </w:p>
          <w:p w:rsidR="00715C3D" w:rsidRPr="00CC0941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C0941">
              <w:rPr>
                <w:b/>
                <w:sz w:val="20"/>
                <w:szCs w:val="20"/>
              </w:rPr>
              <w:t xml:space="preserve">распорядителя бюджетных средств </w:t>
            </w:r>
            <w:r>
              <w:rPr>
                <w:b/>
                <w:sz w:val="20"/>
                <w:szCs w:val="20"/>
              </w:rPr>
              <w:t xml:space="preserve">как </w:t>
            </w:r>
            <w:r w:rsidRPr="00CC0941">
              <w:rPr>
                <w:b/>
                <w:sz w:val="20"/>
                <w:szCs w:val="20"/>
              </w:rPr>
              <w:t>получател</w:t>
            </w:r>
            <w:r>
              <w:rPr>
                <w:b/>
                <w:sz w:val="20"/>
                <w:szCs w:val="20"/>
              </w:rPr>
              <w:t>я</w:t>
            </w:r>
            <w:r w:rsidRPr="00CC0941">
              <w:rPr>
                <w:b/>
                <w:sz w:val="20"/>
                <w:szCs w:val="20"/>
              </w:rPr>
              <w:t xml:space="preserve"> бюджетных средств</w:t>
            </w:r>
          </w:p>
        </w:tc>
        <w:tc>
          <w:tcPr>
            <w:tcW w:w="5670" w:type="dxa"/>
            <w:vAlign w:val="center"/>
          </w:tcPr>
          <w:p w:rsidR="00715C3D" w:rsidRPr="00CC0941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C0941">
              <w:rPr>
                <w:b/>
                <w:sz w:val="20"/>
                <w:szCs w:val="20"/>
              </w:rPr>
              <w:t>Наименование мероприятий / направлений расходования</w:t>
            </w:r>
          </w:p>
        </w:tc>
        <w:tc>
          <w:tcPr>
            <w:tcW w:w="1740" w:type="dxa"/>
            <w:vAlign w:val="center"/>
          </w:tcPr>
          <w:p w:rsidR="00715C3D" w:rsidRPr="00CC0941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C0941">
              <w:rPr>
                <w:b/>
                <w:sz w:val="20"/>
                <w:szCs w:val="20"/>
              </w:rPr>
              <w:t>Размер бюджетных ассигнований на реализацию мероприятий,</w:t>
            </w:r>
          </w:p>
          <w:p w:rsidR="00715C3D" w:rsidRPr="00CC0941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CC0941">
              <w:rPr>
                <w:b/>
                <w:sz w:val="20"/>
                <w:szCs w:val="20"/>
              </w:rPr>
              <w:t>руб.</w:t>
            </w:r>
          </w:p>
        </w:tc>
      </w:tr>
      <w:tr w:rsidR="00715C3D" w:rsidRPr="00CC0941" w:rsidTr="00A95A3A">
        <w:tc>
          <w:tcPr>
            <w:tcW w:w="576" w:type="dxa"/>
            <w:vAlign w:val="center"/>
          </w:tcPr>
          <w:p w:rsidR="00715C3D" w:rsidRPr="008A14A8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8A14A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118" w:type="dxa"/>
            <w:vMerge w:val="restart"/>
            <w:vAlign w:val="center"/>
          </w:tcPr>
          <w:p w:rsidR="00715C3D" w:rsidRPr="004D32B5" w:rsidRDefault="00715C3D" w:rsidP="00A95A3A">
            <w:pPr>
              <w:autoSpaceDE w:val="0"/>
              <w:autoSpaceDN w:val="0"/>
              <w:jc w:val="center"/>
            </w:pPr>
            <w:r w:rsidRPr="004D32B5">
              <w:t>Администрация Бутурлинского муниципального округа Нижегородской области</w:t>
            </w:r>
          </w:p>
          <w:p w:rsidR="00715C3D" w:rsidRPr="004D32B5" w:rsidRDefault="00715C3D" w:rsidP="00A95A3A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715C3D" w:rsidRPr="00CB48F8" w:rsidRDefault="00715C3D" w:rsidP="00A95A3A">
            <w:pPr>
              <w:autoSpaceDE w:val="0"/>
              <w:autoSpaceDN w:val="0"/>
              <w:rPr>
                <w:b/>
              </w:rPr>
            </w:pPr>
            <w:r w:rsidRPr="00CB48F8">
              <w:rPr>
                <w:b/>
              </w:rPr>
              <w:t>Всего</w:t>
            </w:r>
          </w:p>
        </w:tc>
        <w:tc>
          <w:tcPr>
            <w:tcW w:w="1740" w:type="dxa"/>
            <w:vAlign w:val="center"/>
          </w:tcPr>
          <w:p w:rsidR="00715C3D" w:rsidRPr="00CB48F8" w:rsidRDefault="00120194" w:rsidP="00A95A3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208 108,00</w:t>
            </w:r>
          </w:p>
        </w:tc>
      </w:tr>
      <w:tr w:rsidR="00715C3D" w:rsidRPr="00CC0941" w:rsidTr="00A95A3A">
        <w:tc>
          <w:tcPr>
            <w:tcW w:w="576" w:type="dxa"/>
            <w:vAlign w:val="center"/>
          </w:tcPr>
          <w:p w:rsidR="00715C3D" w:rsidRPr="00EB1041" w:rsidRDefault="00715C3D" w:rsidP="00A95A3A">
            <w:pPr>
              <w:autoSpaceDE w:val="0"/>
              <w:autoSpaceDN w:val="0"/>
              <w:jc w:val="center"/>
            </w:pPr>
            <w:r w:rsidRPr="00EB1041">
              <w:t>1.1</w:t>
            </w:r>
          </w:p>
        </w:tc>
        <w:tc>
          <w:tcPr>
            <w:tcW w:w="2118" w:type="dxa"/>
            <w:vMerge/>
            <w:vAlign w:val="center"/>
          </w:tcPr>
          <w:p w:rsidR="00715C3D" w:rsidRPr="004D32B5" w:rsidRDefault="00715C3D" w:rsidP="00A95A3A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vAlign w:val="center"/>
          </w:tcPr>
          <w:p w:rsidR="00715C3D" w:rsidRPr="004D32B5" w:rsidRDefault="00715C3D" w:rsidP="00A95A3A">
            <w:pPr>
              <w:autoSpaceDE w:val="0"/>
              <w:autoSpaceDN w:val="0"/>
              <w:ind w:firstLine="459"/>
              <w:jc w:val="both"/>
            </w:pPr>
            <w:r w:rsidRPr="004D32B5">
              <w:rPr>
                <w:shd w:val="clear" w:color="auto" w:fill="FFFFFF"/>
              </w:rPr>
              <w:t>Увеличение объема фонда заработной платы в целях поощрения муниципальных служащих</w:t>
            </w:r>
            <w:r w:rsidRPr="004D32B5">
              <w:t xml:space="preserve"> </w:t>
            </w:r>
            <w:r>
              <w:t xml:space="preserve">администрации </w:t>
            </w:r>
            <w:r w:rsidRPr="004D32B5">
              <w:rPr>
                <w:shd w:val="clear" w:color="auto" w:fill="FFFFFF"/>
              </w:rPr>
              <w:t xml:space="preserve">за вклад в достижение </w:t>
            </w:r>
            <w:r w:rsidR="002B74EC" w:rsidRPr="002B74EC">
              <w:rPr>
                <w:shd w:val="clear" w:color="auto" w:fill="FFFFFF"/>
              </w:rPr>
              <w:t>наилучших результатов по разработке и внедрению проектов по бережливости</w:t>
            </w:r>
            <w:r w:rsidRPr="004D32B5">
              <w:rPr>
                <w:shd w:val="clear" w:color="auto" w:fill="FFFF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715C3D" w:rsidRPr="004D32B5" w:rsidRDefault="00120194" w:rsidP="003F11EC">
            <w:pPr>
              <w:autoSpaceDE w:val="0"/>
              <w:autoSpaceDN w:val="0"/>
              <w:jc w:val="center"/>
            </w:pPr>
            <w:r>
              <w:t>159 837,17</w:t>
            </w:r>
          </w:p>
        </w:tc>
      </w:tr>
      <w:tr w:rsidR="00715C3D" w:rsidRPr="00CC0941" w:rsidTr="00A95A3A">
        <w:tc>
          <w:tcPr>
            <w:tcW w:w="576" w:type="dxa"/>
            <w:vAlign w:val="center"/>
          </w:tcPr>
          <w:p w:rsidR="00715C3D" w:rsidRPr="00EB1041" w:rsidRDefault="00715C3D" w:rsidP="00A95A3A">
            <w:pPr>
              <w:autoSpaceDE w:val="0"/>
              <w:autoSpaceDN w:val="0"/>
              <w:jc w:val="center"/>
            </w:pPr>
            <w:r w:rsidRPr="00EB1041">
              <w:t>1.2</w:t>
            </w:r>
          </w:p>
        </w:tc>
        <w:tc>
          <w:tcPr>
            <w:tcW w:w="2118" w:type="dxa"/>
            <w:vMerge/>
            <w:vAlign w:val="center"/>
          </w:tcPr>
          <w:p w:rsidR="00715C3D" w:rsidRPr="004D32B5" w:rsidRDefault="00715C3D" w:rsidP="00A95A3A">
            <w:pPr>
              <w:autoSpaceDE w:val="0"/>
              <w:autoSpaceDN w:val="0"/>
              <w:jc w:val="center"/>
            </w:pPr>
          </w:p>
        </w:tc>
        <w:tc>
          <w:tcPr>
            <w:tcW w:w="5670" w:type="dxa"/>
            <w:vAlign w:val="center"/>
          </w:tcPr>
          <w:p w:rsidR="00715C3D" w:rsidRPr="004D32B5" w:rsidRDefault="00715C3D" w:rsidP="00A95A3A">
            <w:pPr>
              <w:autoSpaceDE w:val="0"/>
              <w:autoSpaceDN w:val="0"/>
              <w:ind w:firstLine="459"/>
              <w:jc w:val="both"/>
              <w:rPr>
                <w:shd w:val="clear" w:color="auto" w:fill="FFFFFF"/>
              </w:rPr>
            </w:pPr>
            <w:r w:rsidRPr="004D32B5">
              <w:rPr>
                <w:shd w:val="clear" w:color="auto" w:fill="FFFFFF"/>
              </w:rPr>
              <w:t xml:space="preserve">Увеличение объема взносов по обязательному социальному страхованию на выплаты заработной платы в связи с поощрением муниципальных служащих </w:t>
            </w:r>
            <w:r>
              <w:rPr>
                <w:shd w:val="clear" w:color="auto" w:fill="FFFFFF"/>
              </w:rPr>
              <w:t xml:space="preserve">администрации </w:t>
            </w:r>
            <w:r w:rsidRPr="004D32B5">
              <w:rPr>
                <w:shd w:val="clear" w:color="auto" w:fill="FFFFFF"/>
              </w:rPr>
              <w:t xml:space="preserve">за вклад в достижение </w:t>
            </w:r>
            <w:r w:rsidR="002B74EC" w:rsidRPr="002B74EC">
              <w:rPr>
                <w:shd w:val="clear" w:color="auto" w:fill="FFFFFF"/>
              </w:rPr>
              <w:t>наилучших результатов по разработке и внедрению проектов по бережливости</w:t>
            </w:r>
          </w:p>
        </w:tc>
        <w:tc>
          <w:tcPr>
            <w:tcW w:w="1740" w:type="dxa"/>
            <w:vAlign w:val="center"/>
          </w:tcPr>
          <w:p w:rsidR="00715C3D" w:rsidRPr="004D32B5" w:rsidRDefault="00120194" w:rsidP="00120194">
            <w:pPr>
              <w:autoSpaceDE w:val="0"/>
              <w:autoSpaceDN w:val="0"/>
              <w:jc w:val="center"/>
            </w:pPr>
            <w:r>
              <w:t>48 270,83</w:t>
            </w:r>
          </w:p>
        </w:tc>
      </w:tr>
      <w:tr w:rsidR="002B74EC" w:rsidRPr="00CC0941" w:rsidTr="00F23737">
        <w:trPr>
          <w:trHeight w:val="287"/>
        </w:trPr>
        <w:tc>
          <w:tcPr>
            <w:tcW w:w="576" w:type="dxa"/>
            <w:vAlign w:val="center"/>
          </w:tcPr>
          <w:p w:rsidR="002B74EC" w:rsidRPr="008A14A8" w:rsidRDefault="002B74EC" w:rsidP="00A95A3A">
            <w:pPr>
              <w:autoSpaceDE w:val="0"/>
              <w:autoSpaceDN w:val="0"/>
              <w:jc w:val="center"/>
              <w:rPr>
                <w:b/>
              </w:rPr>
            </w:pPr>
            <w:r w:rsidRPr="008A14A8">
              <w:rPr>
                <w:b/>
              </w:rPr>
              <w:t>2.</w:t>
            </w:r>
          </w:p>
        </w:tc>
        <w:tc>
          <w:tcPr>
            <w:tcW w:w="2118" w:type="dxa"/>
            <w:vMerge w:val="restart"/>
            <w:vAlign w:val="center"/>
          </w:tcPr>
          <w:p w:rsidR="002B74EC" w:rsidRPr="004D32B5" w:rsidRDefault="002B74EC" w:rsidP="00A95A3A">
            <w:pPr>
              <w:autoSpaceDE w:val="0"/>
              <w:autoSpaceDN w:val="0"/>
              <w:jc w:val="center"/>
            </w:pPr>
            <w:r w:rsidRPr="004D32B5">
              <w:rPr>
                <w:rFonts w:eastAsia="Calibri"/>
              </w:rPr>
              <w:t>Управление по благоустройству и комплексному содержанию территорий администрации Бутурлинского муниципального округа Нижегородской области</w:t>
            </w:r>
          </w:p>
        </w:tc>
        <w:tc>
          <w:tcPr>
            <w:tcW w:w="5670" w:type="dxa"/>
          </w:tcPr>
          <w:p w:rsidR="002B74EC" w:rsidRPr="004D32B5" w:rsidRDefault="002B74EC" w:rsidP="00A95A3A">
            <w:pPr>
              <w:autoSpaceDE w:val="0"/>
              <w:autoSpaceDN w:val="0"/>
              <w:ind w:firstLine="176"/>
              <w:jc w:val="both"/>
              <w:rPr>
                <w:b/>
              </w:rPr>
            </w:pPr>
            <w:r w:rsidRPr="004D32B5">
              <w:rPr>
                <w:b/>
              </w:rPr>
              <w:t>Всего</w:t>
            </w:r>
          </w:p>
        </w:tc>
        <w:tc>
          <w:tcPr>
            <w:tcW w:w="1740" w:type="dxa"/>
            <w:vAlign w:val="center"/>
          </w:tcPr>
          <w:p w:rsidR="002B74EC" w:rsidRPr="004D32B5" w:rsidRDefault="00120194" w:rsidP="00A95A3A">
            <w:pPr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208 108,00</w:t>
            </w:r>
          </w:p>
        </w:tc>
      </w:tr>
      <w:tr w:rsidR="00120194" w:rsidRPr="00CC0941" w:rsidTr="00AF2C42">
        <w:trPr>
          <w:trHeight w:val="1554"/>
        </w:trPr>
        <w:tc>
          <w:tcPr>
            <w:tcW w:w="576" w:type="dxa"/>
            <w:vMerge w:val="restart"/>
            <w:vAlign w:val="center"/>
          </w:tcPr>
          <w:p w:rsidR="00120194" w:rsidRPr="009C0466" w:rsidRDefault="00120194" w:rsidP="00A95A3A">
            <w:pPr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2.1</w:t>
            </w:r>
          </w:p>
        </w:tc>
        <w:tc>
          <w:tcPr>
            <w:tcW w:w="2118" w:type="dxa"/>
            <w:vMerge/>
            <w:vAlign w:val="center"/>
          </w:tcPr>
          <w:p w:rsidR="00120194" w:rsidRPr="004D32B5" w:rsidRDefault="00120194" w:rsidP="00A95A3A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vAlign w:val="center"/>
          </w:tcPr>
          <w:p w:rsidR="00120194" w:rsidRPr="004D32B5" w:rsidRDefault="00120194" w:rsidP="002B74EC">
            <w:pPr>
              <w:autoSpaceDE w:val="0"/>
              <w:autoSpaceDN w:val="0"/>
              <w:ind w:firstLine="459"/>
              <w:jc w:val="both"/>
            </w:pPr>
            <w:r w:rsidRPr="004D32B5">
              <w:rPr>
                <w:shd w:val="clear" w:color="auto" w:fill="FFFFFF"/>
              </w:rPr>
              <w:t>Увеличение объема фонда заработной платы в целях поощрения муниципальных служащих</w:t>
            </w:r>
            <w:r w:rsidRPr="004D32B5">
              <w:t xml:space="preserve"> </w:t>
            </w:r>
            <w:r>
              <w:t xml:space="preserve">управления </w:t>
            </w:r>
            <w:r w:rsidRPr="004D32B5">
              <w:rPr>
                <w:shd w:val="clear" w:color="auto" w:fill="FFFFFF"/>
              </w:rPr>
              <w:t xml:space="preserve">за вклад в достижение </w:t>
            </w:r>
            <w:r w:rsidRPr="002B74EC">
              <w:rPr>
                <w:shd w:val="clear" w:color="auto" w:fill="FFFFFF"/>
              </w:rPr>
              <w:t>наилучших результатов по разработке и внедрению проектов по бережливости</w:t>
            </w:r>
            <w:r w:rsidRPr="004D32B5">
              <w:rPr>
                <w:shd w:val="clear" w:color="auto" w:fill="FFFFFF"/>
              </w:rPr>
              <w:t xml:space="preserve"> </w:t>
            </w:r>
          </w:p>
        </w:tc>
        <w:tc>
          <w:tcPr>
            <w:tcW w:w="1740" w:type="dxa"/>
            <w:vAlign w:val="center"/>
          </w:tcPr>
          <w:p w:rsidR="00120194" w:rsidRPr="004D32B5" w:rsidRDefault="00120194" w:rsidP="00737E82">
            <w:pPr>
              <w:autoSpaceDE w:val="0"/>
              <w:autoSpaceDN w:val="0"/>
              <w:jc w:val="center"/>
            </w:pPr>
            <w:r>
              <w:t>159 837,17</w:t>
            </w:r>
          </w:p>
        </w:tc>
      </w:tr>
      <w:tr w:rsidR="00120194" w:rsidRPr="00CC0941" w:rsidTr="00F23737">
        <w:trPr>
          <w:trHeight w:val="276"/>
        </w:trPr>
        <w:tc>
          <w:tcPr>
            <w:tcW w:w="576" w:type="dxa"/>
            <w:vMerge/>
            <w:tcBorders>
              <w:bottom w:val="single" w:sz="4" w:space="0" w:color="auto"/>
            </w:tcBorders>
            <w:vAlign w:val="center"/>
          </w:tcPr>
          <w:p w:rsidR="00120194" w:rsidRPr="009C0466" w:rsidRDefault="00120194" w:rsidP="00A95A3A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2118" w:type="dxa"/>
            <w:vMerge/>
            <w:vAlign w:val="center"/>
          </w:tcPr>
          <w:p w:rsidR="00120194" w:rsidRPr="004D32B5" w:rsidRDefault="00120194" w:rsidP="00A95A3A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vMerge w:val="restart"/>
            <w:vAlign w:val="center"/>
          </w:tcPr>
          <w:p w:rsidR="00120194" w:rsidRPr="004D32B5" w:rsidRDefault="00120194" w:rsidP="003F11EC">
            <w:pPr>
              <w:autoSpaceDE w:val="0"/>
              <w:autoSpaceDN w:val="0"/>
              <w:ind w:firstLine="459"/>
              <w:jc w:val="both"/>
              <w:rPr>
                <w:shd w:val="clear" w:color="auto" w:fill="FFFFFF"/>
              </w:rPr>
            </w:pPr>
            <w:r w:rsidRPr="004D32B5">
              <w:rPr>
                <w:shd w:val="clear" w:color="auto" w:fill="FFFFFF"/>
              </w:rPr>
              <w:t xml:space="preserve">Увеличение объема взносов по обязательному социальному страхованию на выплаты заработной платы в связи с поощрением муниципальных служащих </w:t>
            </w:r>
            <w:r>
              <w:rPr>
                <w:shd w:val="clear" w:color="auto" w:fill="FFFFFF"/>
              </w:rPr>
              <w:t xml:space="preserve">управления </w:t>
            </w:r>
            <w:r w:rsidRPr="004D32B5">
              <w:rPr>
                <w:shd w:val="clear" w:color="auto" w:fill="FFFFFF"/>
              </w:rPr>
              <w:t xml:space="preserve">за вклад в достижение </w:t>
            </w:r>
            <w:r w:rsidRPr="00F23737">
              <w:rPr>
                <w:shd w:val="clear" w:color="auto" w:fill="FFFFFF"/>
              </w:rPr>
              <w:t>наилучших результатов по разработке и внедрению проектов по бережливости</w:t>
            </w:r>
          </w:p>
        </w:tc>
        <w:tc>
          <w:tcPr>
            <w:tcW w:w="1740" w:type="dxa"/>
            <w:vMerge w:val="restart"/>
            <w:vAlign w:val="center"/>
          </w:tcPr>
          <w:p w:rsidR="00120194" w:rsidRPr="004D32B5" w:rsidRDefault="00120194" w:rsidP="00737E82">
            <w:pPr>
              <w:autoSpaceDE w:val="0"/>
              <w:autoSpaceDN w:val="0"/>
              <w:jc w:val="center"/>
            </w:pPr>
            <w:r>
              <w:t>48 270,83</w:t>
            </w:r>
          </w:p>
        </w:tc>
      </w:tr>
      <w:tr w:rsidR="002B74EC" w:rsidRPr="00CC0941" w:rsidTr="003C1A73">
        <w:trPr>
          <w:trHeight w:val="1407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2B74EC" w:rsidRPr="009C0466" w:rsidRDefault="002B74EC" w:rsidP="00A95A3A">
            <w:pPr>
              <w:autoSpaceDE w:val="0"/>
              <w:autoSpaceDN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2.2</w:t>
            </w:r>
          </w:p>
        </w:tc>
        <w:tc>
          <w:tcPr>
            <w:tcW w:w="2118" w:type="dxa"/>
            <w:vMerge/>
            <w:tcBorders>
              <w:bottom w:val="single" w:sz="4" w:space="0" w:color="auto"/>
            </w:tcBorders>
            <w:vAlign w:val="center"/>
          </w:tcPr>
          <w:p w:rsidR="002B74EC" w:rsidRPr="004D32B5" w:rsidRDefault="002B74EC" w:rsidP="00A95A3A">
            <w:pPr>
              <w:autoSpaceDE w:val="0"/>
              <w:autoSpaceDN w:val="0"/>
              <w:jc w:val="center"/>
              <w:rPr>
                <w:rFonts w:eastAsia="Calibri"/>
              </w:rPr>
            </w:pPr>
          </w:p>
        </w:tc>
        <w:tc>
          <w:tcPr>
            <w:tcW w:w="5670" w:type="dxa"/>
            <w:vMerge/>
            <w:vAlign w:val="center"/>
          </w:tcPr>
          <w:p w:rsidR="002B74EC" w:rsidRPr="004D32B5" w:rsidRDefault="002B74EC" w:rsidP="00737E82">
            <w:pPr>
              <w:autoSpaceDE w:val="0"/>
              <w:autoSpaceDN w:val="0"/>
              <w:ind w:firstLine="459"/>
              <w:jc w:val="both"/>
              <w:rPr>
                <w:shd w:val="clear" w:color="auto" w:fill="FFFFFF"/>
              </w:rPr>
            </w:pPr>
          </w:p>
        </w:tc>
        <w:tc>
          <w:tcPr>
            <w:tcW w:w="1740" w:type="dxa"/>
            <w:vMerge/>
            <w:vAlign w:val="center"/>
          </w:tcPr>
          <w:p w:rsidR="002B74EC" w:rsidRPr="004D32B5" w:rsidRDefault="002B74EC" w:rsidP="00A95A3A">
            <w:pPr>
              <w:autoSpaceDE w:val="0"/>
              <w:autoSpaceDN w:val="0"/>
              <w:jc w:val="center"/>
            </w:pPr>
          </w:p>
        </w:tc>
      </w:tr>
      <w:tr w:rsidR="00715C3D" w:rsidRPr="00CC0941" w:rsidTr="00A95A3A">
        <w:trPr>
          <w:trHeight w:val="538"/>
        </w:trPr>
        <w:tc>
          <w:tcPr>
            <w:tcW w:w="8364" w:type="dxa"/>
            <w:gridSpan w:val="3"/>
            <w:vAlign w:val="center"/>
          </w:tcPr>
          <w:p w:rsidR="00715C3D" w:rsidRPr="00CC0941" w:rsidRDefault="00CB48F8" w:rsidP="00A95A3A">
            <w:pPr>
              <w:rPr>
                <w:b/>
              </w:rPr>
            </w:pPr>
            <w:r>
              <w:rPr>
                <w:b/>
              </w:rPr>
              <w:t xml:space="preserve">Всего </w:t>
            </w:r>
          </w:p>
        </w:tc>
        <w:tc>
          <w:tcPr>
            <w:tcW w:w="1740" w:type="dxa"/>
            <w:vAlign w:val="center"/>
          </w:tcPr>
          <w:p w:rsidR="00715C3D" w:rsidRPr="00CC0941" w:rsidRDefault="002B74EC" w:rsidP="00A95A3A">
            <w:pPr>
              <w:jc w:val="center"/>
              <w:rPr>
                <w:b/>
              </w:rPr>
            </w:pPr>
            <w:r>
              <w:rPr>
                <w:b/>
              </w:rPr>
              <w:t>416 216,00</w:t>
            </w:r>
          </w:p>
        </w:tc>
      </w:tr>
    </w:tbl>
    <w:p w:rsidR="00052E6F" w:rsidRDefault="00052E6F" w:rsidP="00AF2C42"/>
    <w:sectPr w:rsidR="00052E6F" w:rsidSect="00AF2C42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C3D"/>
    <w:rsid w:val="00052E6F"/>
    <w:rsid w:val="000B5B99"/>
    <w:rsid w:val="000D2947"/>
    <w:rsid w:val="00120194"/>
    <w:rsid w:val="002B74EC"/>
    <w:rsid w:val="003F11EC"/>
    <w:rsid w:val="006E2808"/>
    <w:rsid w:val="00715C3D"/>
    <w:rsid w:val="00834D89"/>
    <w:rsid w:val="00AF2C42"/>
    <w:rsid w:val="00CB48F8"/>
    <w:rsid w:val="00F2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249F9-CBE2-41DE-9247-9ECFC5C4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15C3D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3"/>
    <w:rsid w:val="00715C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C21A-1407-4F3C-B94C-8F3D37BC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Strokin I.N.</dc:creator>
  <cp:lastModifiedBy>Mandrusova</cp:lastModifiedBy>
  <cp:revision>8</cp:revision>
  <dcterms:created xsi:type="dcterms:W3CDTF">2024-11-25T14:01:00Z</dcterms:created>
  <dcterms:modified xsi:type="dcterms:W3CDTF">2024-11-28T07:29:00Z</dcterms:modified>
</cp:coreProperties>
</file>