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BA" w:rsidRDefault="00C90B90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9B23BA" w:rsidRDefault="00C90B90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БУТУРЛИНСКОГО МУНИЦИПАЛЬНОГО ОКРУГА</w:t>
      </w:r>
    </w:p>
    <w:p w:rsidR="009B23BA" w:rsidRDefault="00C90B90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9B23BA" w:rsidRDefault="009B23BA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9B23BA" w:rsidRDefault="00C90B90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9B23BA" w:rsidRDefault="009B23B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B23BA" w:rsidRDefault="00C90B9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DD0AA2">
        <w:rPr>
          <w:rFonts w:ascii="Times New Roman" w:hAnsi="Times New Roman"/>
          <w:sz w:val="28"/>
          <w:szCs w:val="24"/>
        </w:rPr>
        <w:t>06.05.2026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№</w:t>
      </w:r>
      <w:r w:rsidR="00DD0AA2">
        <w:rPr>
          <w:rFonts w:ascii="Times New Roman" w:hAnsi="Times New Roman"/>
          <w:sz w:val="28"/>
          <w:szCs w:val="24"/>
        </w:rPr>
        <w:t>530</w:t>
      </w:r>
    </w:p>
    <w:p w:rsidR="009B23BA" w:rsidRDefault="009B23B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B23BA" w:rsidRDefault="00C90B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  <w:highlight w:val="white"/>
        </w:rPr>
      </w:pPr>
      <w:r>
        <w:rPr>
          <w:rFonts w:ascii="Times New Roman" w:hAnsi="Times New Roman"/>
          <w:b/>
          <w:sz w:val="28"/>
          <w:szCs w:val="24"/>
          <w:highlight w:val="white"/>
        </w:rPr>
        <w:t>Об утверждении перечня муниципальных услуг, предоставляемых отдел</w:t>
      </w:r>
      <w:r w:rsidR="007F070B">
        <w:rPr>
          <w:rFonts w:ascii="Times New Roman" w:hAnsi="Times New Roman"/>
          <w:b/>
          <w:sz w:val="28"/>
          <w:szCs w:val="24"/>
          <w:highlight w:val="white"/>
        </w:rPr>
        <w:t xml:space="preserve">ом ГБУ НО «Уполномоченный МФЦ»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  <w:highlight w:val="white"/>
        </w:rPr>
        <w:t>Бутурлинского муниципального округа</w:t>
      </w:r>
    </w:p>
    <w:p w:rsidR="009B23BA" w:rsidRDefault="009B23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23BA" w:rsidRDefault="00C90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 основании Федерального закона от 27 июля 2010 года № 210-ФЗ «Об организации предоставления государственных и муниципальных услуг», постановления Правительства Российской Федерации от 27 сентября 2011 г.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 публично-правовыми компаниями», распоряжения Правительства Российской Федерации от 17 декабря 2009 г.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организациями», распоряжения Правительства Нижегородской области от 29 апреля 2010 года № 773-р «Об утверждении календарного плана перехода на предоставление первоочередных государственных, муниципальных и иных услуг, оказываемых органами исполнительной власти Нижегородской области, органами местного самоуправления муниципальных образований Нижегородской области, государственными и муниципальными учреждениями Нижегородской области в электронном виде», протокола заседания комиссии по повышению качества </w:t>
      </w:r>
      <w:r>
        <w:rPr>
          <w:rFonts w:ascii="Times New Roman" w:hAnsi="Times New Roman"/>
          <w:sz w:val="28"/>
          <w:szCs w:val="24"/>
        </w:rPr>
        <w:lastRenderedPageBreak/>
        <w:t xml:space="preserve">предоставляемых государственных и муниципальных услуг на территории Нижегородской области от 14.03.2025 № Сл-001-280094/25, от 02.02.2026 № Сл-001-237271/26, администрация Бутурлинского муниципального округа Нижегородской области </w:t>
      </w:r>
      <w:r>
        <w:rPr>
          <w:rFonts w:ascii="Times New Roman" w:hAnsi="Times New Roman"/>
          <w:b/>
          <w:sz w:val="28"/>
          <w:szCs w:val="24"/>
        </w:rPr>
        <w:t>п о с т а н о в л я е т:</w:t>
      </w:r>
    </w:p>
    <w:p w:rsidR="009B23BA" w:rsidRDefault="00C90B90">
      <w:pPr>
        <w:pStyle w:val="af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Утвердить прилагаемый Перечень муниципальных услуг, предоставляемых отделом ГБУ НО «Уполномоченный МФЦ» Бутурлинского муниципального округа.</w:t>
      </w:r>
    </w:p>
    <w:p w:rsidR="009B23BA" w:rsidRDefault="00C90B90">
      <w:pPr>
        <w:pStyle w:val="af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Управлению по юридическому и организационному обеспечению деятельности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актов,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:rsidR="009B23BA" w:rsidRDefault="00C90B90">
      <w:pPr>
        <w:pStyle w:val="af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4"/>
          <w:highlight w:val="white"/>
        </w:rPr>
        <w:t>Признать утратившим силу постановление администрации Бутурлинского муниципального округа Нижегородской области от 20.12.2022 № 1701 «Об утверждении перечня муниципальных услуг, предоставляемых отделом ГБУ НО «Уполномоченный МФЦ» Бутурлинского муниципального округа».</w:t>
      </w:r>
    </w:p>
    <w:p w:rsidR="009B23BA" w:rsidRDefault="00C90B90">
      <w:pPr>
        <w:pStyle w:val="af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9B23BA" w:rsidRDefault="009B23BA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9B23BA" w:rsidRDefault="009B23BA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9B23BA" w:rsidRDefault="00C90B90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4"/>
          <w:highlight w:val="white"/>
        </w:rPr>
        <w:t>Глава местного самоуправления                                                           М.Ф.Петрова</w:t>
      </w:r>
    </w:p>
    <w:p w:rsidR="009B23BA" w:rsidRDefault="00C90B90">
      <w:pPr>
        <w:spacing w:after="0" w:line="240" w:lineRule="auto"/>
        <w:ind w:firstLine="709"/>
        <w:rPr>
          <w:rFonts w:ascii="Times New Roman" w:hAnsi="Times New Roman"/>
          <w:sz w:val="28"/>
          <w:szCs w:val="24"/>
          <w:highlight w:val="white"/>
        </w:rPr>
      </w:pPr>
      <w:r>
        <w:rPr>
          <w:rFonts w:ascii="Times New Roman" w:hAnsi="Times New Roman"/>
          <w:sz w:val="28"/>
          <w:szCs w:val="24"/>
          <w:highlight w:val="white"/>
        </w:rPr>
        <w:br w:type="page" w:clear="all"/>
      </w:r>
    </w:p>
    <w:p w:rsidR="009B23BA" w:rsidRDefault="009B23BA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  <w:sectPr w:rsidR="009B23BA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B23BA" w:rsidRDefault="00C90B90">
      <w:pPr>
        <w:spacing w:after="0" w:line="240" w:lineRule="auto"/>
        <w:ind w:right="-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9B23BA" w:rsidRDefault="00C90B90">
      <w:pPr>
        <w:spacing w:after="0" w:line="240" w:lineRule="auto"/>
        <w:ind w:right="-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B23BA" w:rsidRDefault="00C90B90">
      <w:pPr>
        <w:spacing w:after="0" w:line="240" w:lineRule="auto"/>
        <w:ind w:right="-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Бутурлинского муниципального округа </w:t>
      </w:r>
    </w:p>
    <w:p w:rsidR="009B23BA" w:rsidRDefault="00C90B90">
      <w:pPr>
        <w:spacing w:after="0" w:line="240" w:lineRule="auto"/>
        <w:ind w:right="-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9B23BA" w:rsidRDefault="00C90B90">
      <w:pPr>
        <w:spacing w:after="0" w:line="240" w:lineRule="auto"/>
        <w:ind w:right="-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D0AA2">
        <w:rPr>
          <w:rFonts w:ascii="Times New Roman" w:hAnsi="Times New Roman"/>
          <w:sz w:val="24"/>
          <w:szCs w:val="24"/>
        </w:rPr>
        <w:t>06.05.2026</w:t>
      </w:r>
      <w:r>
        <w:rPr>
          <w:rFonts w:ascii="Times New Roman" w:hAnsi="Times New Roman"/>
          <w:sz w:val="24"/>
          <w:szCs w:val="24"/>
        </w:rPr>
        <w:t xml:space="preserve"> №</w:t>
      </w:r>
      <w:r w:rsidR="00DD0AA2">
        <w:rPr>
          <w:rFonts w:ascii="Times New Roman" w:hAnsi="Times New Roman"/>
          <w:sz w:val="24"/>
          <w:szCs w:val="24"/>
        </w:rPr>
        <w:t>530</w:t>
      </w:r>
    </w:p>
    <w:p w:rsidR="009B23BA" w:rsidRDefault="009B23BA">
      <w:pPr>
        <w:spacing w:after="0" w:line="240" w:lineRule="auto"/>
        <w:ind w:right="-566"/>
        <w:jc w:val="right"/>
        <w:rPr>
          <w:rFonts w:ascii="Times New Roman" w:hAnsi="Times New Roman"/>
          <w:sz w:val="24"/>
          <w:szCs w:val="24"/>
        </w:rPr>
      </w:pPr>
    </w:p>
    <w:p w:rsidR="009B23BA" w:rsidRDefault="00C90B90">
      <w:pPr>
        <w:spacing w:after="0" w:line="240" w:lineRule="auto"/>
        <w:ind w:right="-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муниципальных услуг, предоставляемых отделом  ГБУ НО «Уполномоченный МФЦ» Бутурлинского муниципального округа</w:t>
      </w:r>
    </w:p>
    <w:p w:rsidR="009B23BA" w:rsidRDefault="009B23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b"/>
        <w:tblW w:w="0" w:type="auto"/>
        <w:tblInd w:w="533" w:type="dxa"/>
        <w:tblLayout w:type="fixed"/>
        <w:tblLook w:val="04A0" w:firstRow="1" w:lastRow="0" w:firstColumn="1" w:lastColumn="0" w:noHBand="0" w:noVBand="1"/>
      </w:tblPr>
      <w:tblGrid>
        <w:gridCol w:w="708"/>
        <w:gridCol w:w="9179"/>
      </w:tblGrid>
      <w:tr w:rsidR="009B23BA">
        <w:tc>
          <w:tcPr>
            <w:tcW w:w="708" w:type="dxa"/>
          </w:tcPr>
          <w:p w:rsidR="009B23BA" w:rsidRDefault="009B2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179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 xml:space="preserve">Наименование муниципальной услуги </w:t>
            </w:r>
          </w:p>
        </w:tc>
      </w:tr>
      <w:tr w:rsidR="009B23BA">
        <w:tc>
          <w:tcPr>
            <w:tcW w:w="708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179" w:type="dxa"/>
          </w:tcPr>
          <w:p w:rsidR="009B23BA" w:rsidRDefault="00C90B90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  <w:p w:rsidR="009B23BA" w:rsidRDefault="009B23B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9B23BA">
        <w:tc>
          <w:tcPr>
            <w:tcW w:w="708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179" w:type="dxa"/>
          </w:tcPr>
          <w:p w:rsidR="009B23BA" w:rsidRDefault="00C90B90">
            <w:r>
              <w:rPr>
                <w:rFonts w:ascii="Times New Roman" w:hAnsi="Times New Roman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 на территории Бутурлинского муниципального округа Нижегородской области</w:t>
            </w:r>
          </w:p>
        </w:tc>
      </w:tr>
      <w:tr w:rsidR="009B23BA">
        <w:tc>
          <w:tcPr>
            <w:tcW w:w="708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9179" w:type="dxa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разрешения на ввод объекта в эксплуатацию</w:t>
            </w:r>
          </w:p>
          <w:p w:rsidR="009B23BA" w:rsidRDefault="009B23BA">
            <w:pPr>
              <w:pStyle w:val="af5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9B23BA">
        <w:tc>
          <w:tcPr>
            <w:tcW w:w="708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179" w:type="dxa"/>
          </w:tcPr>
          <w:p w:rsidR="009B23BA" w:rsidRDefault="00C90B90">
            <w:r>
              <w:rPr>
                <w:rFonts w:ascii="Times New Roman" w:hAnsi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9B23BA">
        <w:tc>
          <w:tcPr>
            <w:tcW w:w="708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9179" w:type="dxa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</w:p>
        </w:tc>
      </w:tr>
      <w:tr w:rsidR="009B23BA">
        <w:tc>
          <w:tcPr>
            <w:tcW w:w="708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9179" w:type="dxa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9179" w:type="dxa"/>
            <w:vMerge w:val="restart"/>
          </w:tcPr>
          <w:p w:rsidR="009B23BA" w:rsidRDefault="00C90B90"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Присвоение адреса объекту адресации, изменение, аннулирование такого адреса в Бутурлинском муниципальном округе Нижегородской области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Предоставление разрешения на осуществление земляных работ в Бутурлинском муниципальном округе Нижегородской области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Выдача разрешения на размещение объектов на землях или земельных участках, находящихся в муниципальной собственности, и государственная собственность на которые не разграничена, без предоставления земельного участка и установления сервитута на территории Бутурлинского муниципального округа Нижегородской области</w:t>
            </w:r>
          </w:p>
        </w:tc>
      </w:tr>
      <w:tr w:rsidR="009B23BA">
        <w:tc>
          <w:tcPr>
            <w:tcW w:w="708" w:type="dxa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9179" w:type="dxa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Перераспределение земель и (или) земельных участков, находящихся в муниципальной собственности, или государственная собственность на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которые не разграничена, и земельных участков, находящихся в частной собственности на территории Бутурлинского муниципального округа Нижегородской области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lastRenderedPageBreak/>
              <w:t>14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Установление сервитута в отношении земельного участка, находящегося в муниципальной собственности и земельного участка, государственная собственность на который не разграничена на территории Бутурлинского муниципального округа Нижегородской области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разрешения (дубликата или копии разрешения) на право организации розничного рынка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18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разрешения на право организации ярмарки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19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договора на размещение нестационарных торговых объектов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21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22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spacing w:line="276" w:lineRule="auto"/>
              <w:ind w:right="11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23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24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1"/>
              <w:keepLines w:val="0"/>
              <w:widowControl w:val="0"/>
              <w:tabs>
                <w:tab w:val="left" w:pos="1134"/>
              </w:tabs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25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26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spacing w:line="276" w:lineRule="auto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 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27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spacing w:line="276" w:lineRule="auto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lastRenderedPageBreak/>
              <w:t>28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spacing w:line="276" w:lineRule="auto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Принятие решения об использовании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9179" w:type="dxa"/>
            <w:vMerge w:val="restart"/>
          </w:tcPr>
          <w:p w:rsidR="009B23BA" w:rsidRDefault="00C90B90">
            <w:pPr>
              <w:pStyle w:val="af5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  <w:tcBorders>
              <w:right w:val="single" w:sz="4" w:space="0" w:color="000000"/>
            </w:tcBorders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9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BA" w:rsidRDefault="00C90B90">
            <w:pPr>
              <w:pStyle w:val="af5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 на территории Бутурлинского муниципального округа Нижегородской области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9179" w:type="dxa"/>
            <w:vMerge w:val="restart"/>
            <w:tcBorders>
              <w:top w:val="single" w:sz="4" w:space="0" w:color="000000"/>
            </w:tcBorders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Предоставление меры социальной поддержки гражданам, имеющим детей, в виде предоставления путевки с частичной оплатой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  <w:tr w:rsidR="009B23BA">
        <w:trPr>
          <w:trHeight w:val="322"/>
        </w:trPr>
        <w:tc>
          <w:tcPr>
            <w:tcW w:w="708" w:type="dxa"/>
            <w:vMerge w:val="restart"/>
          </w:tcPr>
          <w:p w:rsidR="009B23BA" w:rsidRDefault="00C90B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179" w:type="dxa"/>
            <w:vMerge w:val="restart"/>
            <w:tcBorders>
              <w:top w:val="single" w:sz="4" w:space="0" w:color="000000"/>
            </w:tcBorders>
          </w:tcPr>
          <w:p w:rsidR="009B23BA" w:rsidRDefault="00C90B90">
            <w:pPr>
              <w:pStyle w:val="af5"/>
              <w:spacing w:line="276" w:lineRule="auto"/>
              <w:ind w:left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Предоставление меры социальной поддержки гражданам, имеющим детей, в виде компенсации части расходов по приобретению путевки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</w:tbl>
    <w:p w:rsidR="009B23BA" w:rsidRDefault="009B23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B23BA">
      <w:pgSz w:w="11906" w:h="16838"/>
      <w:pgMar w:top="850" w:right="1417" w:bottom="85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90" w:rsidRDefault="00C90B90">
      <w:pPr>
        <w:spacing w:after="0" w:line="240" w:lineRule="auto"/>
      </w:pPr>
      <w:r>
        <w:separator/>
      </w:r>
    </w:p>
  </w:endnote>
  <w:endnote w:type="continuationSeparator" w:id="0">
    <w:p w:rsidR="00C90B90" w:rsidRDefault="00C9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90" w:rsidRDefault="00C90B90">
      <w:pPr>
        <w:spacing w:after="0" w:line="240" w:lineRule="auto"/>
      </w:pPr>
      <w:r>
        <w:separator/>
      </w:r>
    </w:p>
  </w:footnote>
  <w:footnote w:type="continuationSeparator" w:id="0">
    <w:p w:rsidR="00C90B90" w:rsidRDefault="00C90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C6C5C"/>
    <w:multiLevelType w:val="hybridMultilevel"/>
    <w:tmpl w:val="C1E26ED4"/>
    <w:lvl w:ilvl="0" w:tplc="495849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BC16117A">
      <w:start w:val="1"/>
      <w:numFmt w:val="lowerLetter"/>
      <w:lvlText w:val="%2."/>
      <w:lvlJc w:val="left"/>
      <w:pPr>
        <w:ind w:left="1440" w:hanging="360"/>
      </w:pPr>
    </w:lvl>
    <w:lvl w:ilvl="2" w:tplc="F2CC0294">
      <w:start w:val="1"/>
      <w:numFmt w:val="lowerRoman"/>
      <w:lvlText w:val="%3."/>
      <w:lvlJc w:val="right"/>
      <w:pPr>
        <w:ind w:left="2160" w:hanging="180"/>
      </w:pPr>
    </w:lvl>
    <w:lvl w:ilvl="3" w:tplc="4334A196">
      <w:start w:val="1"/>
      <w:numFmt w:val="decimal"/>
      <w:lvlText w:val="%4."/>
      <w:lvlJc w:val="left"/>
      <w:pPr>
        <w:ind w:left="2880" w:hanging="360"/>
      </w:pPr>
    </w:lvl>
    <w:lvl w:ilvl="4" w:tplc="9AF64E16">
      <w:start w:val="1"/>
      <w:numFmt w:val="lowerLetter"/>
      <w:lvlText w:val="%5."/>
      <w:lvlJc w:val="left"/>
      <w:pPr>
        <w:ind w:left="3600" w:hanging="360"/>
      </w:pPr>
    </w:lvl>
    <w:lvl w:ilvl="5" w:tplc="180867D2">
      <w:start w:val="1"/>
      <w:numFmt w:val="lowerRoman"/>
      <w:lvlText w:val="%6."/>
      <w:lvlJc w:val="right"/>
      <w:pPr>
        <w:ind w:left="4320" w:hanging="180"/>
      </w:pPr>
    </w:lvl>
    <w:lvl w:ilvl="6" w:tplc="3DC40ADE">
      <w:start w:val="1"/>
      <w:numFmt w:val="decimal"/>
      <w:lvlText w:val="%7."/>
      <w:lvlJc w:val="left"/>
      <w:pPr>
        <w:ind w:left="5040" w:hanging="360"/>
      </w:pPr>
    </w:lvl>
    <w:lvl w:ilvl="7" w:tplc="3BEC2BB0">
      <w:start w:val="1"/>
      <w:numFmt w:val="lowerLetter"/>
      <w:lvlText w:val="%8."/>
      <w:lvlJc w:val="left"/>
      <w:pPr>
        <w:ind w:left="5760" w:hanging="360"/>
      </w:pPr>
    </w:lvl>
    <w:lvl w:ilvl="8" w:tplc="594AD7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037DC"/>
    <w:multiLevelType w:val="hybridMultilevel"/>
    <w:tmpl w:val="5206122E"/>
    <w:lvl w:ilvl="0" w:tplc="E1168CE6">
      <w:start w:val="1"/>
      <w:numFmt w:val="decimal"/>
      <w:lvlText w:val="%1."/>
      <w:lvlJc w:val="left"/>
      <w:pPr>
        <w:ind w:left="720" w:hanging="360"/>
      </w:pPr>
    </w:lvl>
    <w:lvl w:ilvl="1" w:tplc="DADE1DCC">
      <w:start w:val="1"/>
      <w:numFmt w:val="lowerLetter"/>
      <w:lvlText w:val="%2."/>
      <w:lvlJc w:val="left"/>
      <w:pPr>
        <w:ind w:left="1440" w:hanging="360"/>
      </w:pPr>
    </w:lvl>
    <w:lvl w:ilvl="2" w:tplc="6BF27E34">
      <w:start w:val="1"/>
      <w:numFmt w:val="lowerRoman"/>
      <w:lvlText w:val="%3."/>
      <w:lvlJc w:val="right"/>
      <w:pPr>
        <w:ind w:left="2160" w:hanging="180"/>
      </w:pPr>
    </w:lvl>
    <w:lvl w:ilvl="3" w:tplc="0D98D5EA">
      <w:start w:val="1"/>
      <w:numFmt w:val="decimal"/>
      <w:lvlText w:val="%4."/>
      <w:lvlJc w:val="left"/>
      <w:pPr>
        <w:ind w:left="2880" w:hanging="360"/>
      </w:pPr>
    </w:lvl>
    <w:lvl w:ilvl="4" w:tplc="0E54F6D0">
      <w:start w:val="1"/>
      <w:numFmt w:val="lowerLetter"/>
      <w:lvlText w:val="%5."/>
      <w:lvlJc w:val="left"/>
      <w:pPr>
        <w:ind w:left="3600" w:hanging="360"/>
      </w:pPr>
    </w:lvl>
    <w:lvl w:ilvl="5" w:tplc="1E7E137E">
      <w:start w:val="1"/>
      <w:numFmt w:val="lowerRoman"/>
      <w:lvlText w:val="%6."/>
      <w:lvlJc w:val="right"/>
      <w:pPr>
        <w:ind w:left="4320" w:hanging="180"/>
      </w:pPr>
    </w:lvl>
    <w:lvl w:ilvl="6" w:tplc="082848BE">
      <w:start w:val="1"/>
      <w:numFmt w:val="decimal"/>
      <w:lvlText w:val="%7."/>
      <w:lvlJc w:val="left"/>
      <w:pPr>
        <w:ind w:left="5040" w:hanging="360"/>
      </w:pPr>
    </w:lvl>
    <w:lvl w:ilvl="7" w:tplc="11AC2F70">
      <w:start w:val="1"/>
      <w:numFmt w:val="lowerLetter"/>
      <w:lvlText w:val="%8."/>
      <w:lvlJc w:val="left"/>
      <w:pPr>
        <w:ind w:left="5760" w:hanging="360"/>
      </w:pPr>
    </w:lvl>
    <w:lvl w:ilvl="8" w:tplc="24C2A2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D6E95"/>
    <w:multiLevelType w:val="hybridMultilevel"/>
    <w:tmpl w:val="1992459E"/>
    <w:lvl w:ilvl="0" w:tplc="31C80F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C166A4E">
      <w:start w:val="1"/>
      <w:numFmt w:val="lowerLetter"/>
      <w:lvlText w:val="%2."/>
      <w:lvlJc w:val="left"/>
      <w:pPr>
        <w:ind w:left="1440" w:hanging="360"/>
      </w:pPr>
    </w:lvl>
    <w:lvl w:ilvl="2" w:tplc="9FD08712">
      <w:start w:val="1"/>
      <w:numFmt w:val="lowerRoman"/>
      <w:lvlText w:val="%3."/>
      <w:lvlJc w:val="right"/>
      <w:pPr>
        <w:ind w:left="2160" w:hanging="180"/>
      </w:pPr>
    </w:lvl>
    <w:lvl w:ilvl="3" w:tplc="4D589560">
      <w:start w:val="1"/>
      <w:numFmt w:val="decimal"/>
      <w:lvlText w:val="%4."/>
      <w:lvlJc w:val="left"/>
      <w:pPr>
        <w:ind w:left="2880" w:hanging="360"/>
      </w:pPr>
    </w:lvl>
    <w:lvl w:ilvl="4" w:tplc="FE186FE2">
      <w:start w:val="1"/>
      <w:numFmt w:val="lowerLetter"/>
      <w:lvlText w:val="%5."/>
      <w:lvlJc w:val="left"/>
      <w:pPr>
        <w:ind w:left="3600" w:hanging="360"/>
      </w:pPr>
    </w:lvl>
    <w:lvl w:ilvl="5" w:tplc="9FAC2A54">
      <w:start w:val="1"/>
      <w:numFmt w:val="lowerRoman"/>
      <w:lvlText w:val="%6."/>
      <w:lvlJc w:val="right"/>
      <w:pPr>
        <w:ind w:left="4320" w:hanging="180"/>
      </w:pPr>
    </w:lvl>
    <w:lvl w:ilvl="6" w:tplc="327AEE02">
      <w:start w:val="1"/>
      <w:numFmt w:val="decimal"/>
      <w:lvlText w:val="%7."/>
      <w:lvlJc w:val="left"/>
      <w:pPr>
        <w:ind w:left="5040" w:hanging="360"/>
      </w:pPr>
    </w:lvl>
    <w:lvl w:ilvl="7" w:tplc="571A10D4">
      <w:start w:val="1"/>
      <w:numFmt w:val="lowerLetter"/>
      <w:lvlText w:val="%8."/>
      <w:lvlJc w:val="left"/>
      <w:pPr>
        <w:ind w:left="5760" w:hanging="360"/>
      </w:pPr>
    </w:lvl>
    <w:lvl w:ilvl="8" w:tplc="DE0AC2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9694C"/>
    <w:multiLevelType w:val="hybridMultilevel"/>
    <w:tmpl w:val="C44421DC"/>
    <w:lvl w:ilvl="0" w:tplc="7FEAB0D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F6385042">
      <w:start w:val="1"/>
      <w:numFmt w:val="lowerLetter"/>
      <w:lvlText w:val="%2."/>
      <w:lvlJc w:val="left"/>
      <w:pPr>
        <w:ind w:left="1440" w:hanging="360"/>
      </w:pPr>
    </w:lvl>
    <w:lvl w:ilvl="2" w:tplc="4D4243BE">
      <w:start w:val="1"/>
      <w:numFmt w:val="lowerRoman"/>
      <w:lvlText w:val="%3."/>
      <w:lvlJc w:val="right"/>
      <w:pPr>
        <w:ind w:left="2160" w:hanging="180"/>
      </w:pPr>
    </w:lvl>
    <w:lvl w:ilvl="3" w:tplc="4830DE50">
      <w:start w:val="1"/>
      <w:numFmt w:val="decimal"/>
      <w:lvlText w:val="%4."/>
      <w:lvlJc w:val="left"/>
      <w:pPr>
        <w:ind w:left="2880" w:hanging="360"/>
      </w:pPr>
    </w:lvl>
    <w:lvl w:ilvl="4" w:tplc="2B96700A">
      <w:start w:val="1"/>
      <w:numFmt w:val="lowerLetter"/>
      <w:lvlText w:val="%5."/>
      <w:lvlJc w:val="left"/>
      <w:pPr>
        <w:ind w:left="3600" w:hanging="360"/>
      </w:pPr>
    </w:lvl>
    <w:lvl w:ilvl="5" w:tplc="96442EA6">
      <w:start w:val="1"/>
      <w:numFmt w:val="lowerRoman"/>
      <w:lvlText w:val="%6."/>
      <w:lvlJc w:val="right"/>
      <w:pPr>
        <w:ind w:left="4320" w:hanging="180"/>
      </w:pPr>
    </w:lvl>
    <w:lvl w:ilvl="6" w:tplc="DB4462CC">
      <w:start w:val="1"/>
      <w:numFmt w:val="decimal"/>
      <w:lvlText w:val="%7."/>
      <w:lvlJc w:val="left"/>
      <w:pPr>
        <w:ind w:left="5040" w:hanging="360"/>
      </w:pPr>
    </w:lvl>
    <w:lvl w:ilvl="7" w:tplc="BDB8CD88">
      <w:start w:val="1"/>
      <w:numFmt w:val="lowerLetter"/>
      <w:lvlText w:val="%8."/>
      <w:lvlJc w:val="left"/>
      <w:pPr>
        <w:ind w:left="5760" w:hanging="360"/>
      </w:pPr>
    </w:lvl>
    <w:lvl w:ilvl="8" w:tplc="813A2C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6007A"/>
    <w:multiLevelType w:val="hybridMultilevel"/>
    <w:tmpl w:val="F4B09A4E"/>
    <w:lvl w:ilvl="0" w:tplc="24AE820A">
      <w:start w:val="1"/>
      <w:numFmt w:val="decimal"/>
      <w:lvlText w:val="%1."/>
      <w:lvlJc w:val="left"/>
      <w:pPr>
        <w:ind w:left="1080" w:hanging="360"/>
      </w:pPr>
    </w:lvl>
    <w:lvl w:ilvl="1" w:tplc="53566DDA">
      <w:start w:val="1"/>
      <w:numFmt w:val="lowerLetter"/>
      <w:lvlText w:val="%2."/>
      <w:lvlJc w:val="left"/>
      <w:pPr>
        <w:ind w:left="1800" w:hanging="360"/>
      </w:pPr>
    </w:lvl>
    <w:lvl w:ilvl="2" w:tplc="D0947076">
      <w:start w:val="1"/>
      <w:numFmt w:val="lowerRoman"/>
      <w:lvlText w:val="%3."/>
      <w:lvlJc w:val="right"/>
      <w:pPr>
        <w:ind w:left="2520" w:hanging="180"/>
      </w:pPr>
    </w:lvl>
    <w:lvl w:ilvl="3" w:tplc="DB5E4CDA">
      <w:start w:val="1"/>
      <w:numFmt w:val="decimal"/>
      <w:lvlText w:val="%4."/>
      <w:lvlJc w:val="left"/>
      <w:pPr>
        <w:ind w:left="3240" w:hanging="360"/>
      </w:pPr>
    </w:lvl>
    <w:lvl w:ilvl="4" w:tplc="BF8A8496">
      <w:start w:val="1"/>
      <w:numFmt w:val="lowerLetter"/>
      <w:lvlText w:val="%5."/>
      <w:lvlJc w:val="left"/>
      <w:pPr>
        <w:ind w:left="3960" w:hanging="360"/>
      </w:pPr>
    </w:lvl>
    <w:lvl w:ilvl="5" w:tplc="F2B6EBA4">
      <w:start w:val="1"/>
      <w:numFmt w:val="lowerRoman"/>
      <w:lvlText w:val="%6."/>
      <w:lvlJc w:val="right"/>
      <w:pPr>
        <w:ind w:left="4680" w:hanging="180"/>
      </w:pPr>
    </w:lvl>
    <w:lvl w:ilvl="6" w:tplc="A60CA658">
      <w:start w:val="1"/>
      <w:numFmt w:val="decimal"/>
      <w:lvlText w:val="%7."/>
      <w:lvlJc w:val="left"/>
      <w:pPr>
        <w:ind w:left="5400" w:hanging="360"/>
      </w:pPr>
    </w:lvl>
    <w:lvl w:ilvl="7" w:tplc="31723932">
      <w:start w:val="1"/>
      <w:numFmt w:val="lowerLetter"/>
      <w:lvlText w:val="%8."/>
      <w:lvlJc w:val="left"/>
      <w:pPr>
        <w:ind w:left="6120" w:hanging="360"/>
      </w:pPr>
    </w:lvl>
    <w:lvl w:ilvl="8" w:tplc="7AE62FD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4250EC"/>
    <w:multiLevelType w:val="hybridMultilevel"/>
    <w:tmpl w:val="53FC45D0"/>
    <w:lvl w:ilvl="0" w:tplc="9FF87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4094E">
      <w:start w:val="1"/>
      <w:numFmt w:val="lowerLetter"/>
      <w:lvlText w:val="%2."/>
      <w:lvlJc w:val="left"/>
      <w:pPr>
        <w:ind w:left="1440" w:hanging="360"/>
      </w:pPr>
    </w:lvl>
    <w:lvl w:ilvl="2" w:tplc="66F6818C">
      <w:start w:val="1"/>
      <w:numFmt w:val="lowerRoman"/>
      <w:lvlText w:val="%3."/>
      <w:lvlJc w:val="right"/>
      <w:pPr>
        <w:ind w:left="2160" w:hanging="180"/>
      </w:pPr>
    </w:lvl>
    <w:lvl w:ilvl="3" w:tplc="4EA47EFC">
      <w:start w:val="1"/>
      <w:numFmt w:val="decimal"/>
      <w:lvlText w:val="%4."/>
      <w:lvlJc w:val="left"/>
      <w:pPr>
        <w:ind w:left="2880" w:hanging="360"/>
      </w:pPr>
    </w:lvl>
    <w:lvl w:ilvl="4" w:tplc="2F2AD2AC">
      <w:start w:val="1"/>
      <w:numFmt w:val="lowerLetter"/>
      <w:lvlText w:val="%5."/>
      <w:lvlJc w:val="left"/>
      <w:pPr>
        <w:ind w:left="3600" w:hanging="360"/>
      </w:pPr>
    </w:lvl>
    <w:lvl w:ilvl="5" w:tplc="C1A0A7DA">
      <w:start w:val="1"/>
      <w:numFmt w:val="lowerRoman"/>
      <w:lvlText w:val="%6."/>
      <w:lvlJc w:val="right"/>
      <w:pPr>
        <w:ind w:left="4320" w:hanging="180"/>
      </w:pPr>
    </w:lvl>
    <w:lvl w:ilvl="6" w:tplc="CF56A72C">
      <w:start w:val="1"/>
      <w:numFmt w:val="decimal"/>
      <w:lvlText w:val="%7."/>
      <w:lvlJc w:val="left"/>
      <w:pPr>
        <w:ind w:left="5040" w:hanging="360"/>
      </w:pPr>
    </w:lvl>
    <w:lvl w:ilvl="7" w:tplc="F0467424">
      <w:start w:val="1"/>
      <w:numFmt w:val="lowerLetter"/>
      <w:lvlText w:val="%8."/>
      <w:lvlJc w:val="left"/>
      <w:pPr>
        <w:ind w:left="5760" w:hanging="360"/>
      </w:pPr>
    </w:lvl>
    <w:lvl w:ilvl="8" w:tplc="11AA13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73165"/>
    <w:multiLevelType w:val="hybridMultilevel"/>
    <w:tmpl w:val="43686A26"/>
    <w:lvl w:ilvl="0" w:tplc="BEFEAFA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1AC0B740">
      <w:start w:val="1"/>
      <w:numFmt w:val="lowerLetter"/>
      <w:lvlText w:val="%2."/>
      <w:lvlJc w:val="left"/>
      <w:pPr>
        <w:ind w:left="1364" w:hanging="360"/>
      </w:pPr>
    </w:lvl>
    <w:lvl w:ilvl="2" w:tplc="86446AA6">
      <w:start w:val="1"/>
      <w:numFmt w:val="lowerRoman"/>
      <w:lvlText w:val="%3."/>
      <w:lvlJc w:val="right"/>
      <w:pPr>
        <w:ind w:left="2084" w:hanging="180"/>
      </w:pPr>
    </w:lvl>
    <w:lvl w:ilvl="3" w:tplc="DEE4605A">
      <w:start w:val="1"/>
      <w:numFmt w:val="decimal"/>
      <w:lvlText w:val="%4."/>
      <w:lvlJc w:val="left"/>
      <w:pPr>
        <w:ind w:left="2804" w:hanging="360"/>
      </w:pPr>
    </w:lvl>
    <w:lvl w:ilvl="4" w:tplc="ECAAB69C">
      <w:start w:val="1"/>
      <w:numFmt w:val="lowerLetter"/>
      <w:lvlText w:val="%5."/>
      <w:lvlJc w:val="left"/>
      <w:pPr>
        <w:ind w:left="3524" w:hanging="360"/>
      </w:pPr>
    </w:lvl>
    <w:lvl w:ilvl="5" w:tplc="F2B0F4D4">
      <w:start w:val="1"/>
      <w:numFmt w:val="lowerRoman"/>
      <w:lvlText w:val="%6."/>
      <w:lvlJc w:val="right"/>
      <w:pPr>
        <w:ind w:left="4244" w:hanging="180"/>
      </w:pPr>
    </w:lvl>
    <w:lvl w:ilvl="6" w:tplc="E9BC6012">
      <w:start w:val="1"/>
      <w:numFmt w:val="decimal"/>
      <w:lvlText w:val="%7."/>
      <w:lvlJc w:val="left"/>
      <w:pPr>
        <w:ind w:left="4964" w:hanging="360"/>
      </w:pPr>
    </w:lvl>
    <w:lvl w:ilvl="7" w:tplc="F982BD38">
      <w:start w:val="1"/>
      <w:numFmt w:val="lowerLetter"/>
      <w:lvlText w:val="%8."/>
      <w:lvlJc w:val="left"/>
      <w:pPr>
        <w:ind w:left="5684" w:hanging="360"/>
      </w:pPr>
    </w:lvl>
    <w:lvl w:ilvl="8" w:tplc="99306AB4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D00652"/>
    <w:multiLevelType w:val="multilevel"/>
    <w:tmpl w:val="388EEFE6"/>
    <w:lvl w:ilvl="0">
      <w:start w:val="1"/>
      <w:numFmt w:val="decimal"/>
      <w:suff w:val="space"/>
      <w:lvlText w:val="%1."/>
      <w:lvlJc w:val="left"/>
      <w:pPr>
        <w:ind w:left="1333" w:hanging="624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BA"/>
    <w:rsid w:val="007F070B"/>
    <w:rsid w:val="009B23BA"/>
    <w:rsid w:val="00C90B90"/>
    <w:rsid w:val="00D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411D8-80A8-4134-A833-2138CEA9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color w:val="4F81BD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d">
    <w:name w:val="Subtitle"/>
    <w:basedOn w:val="a"/>
    <w:link w:val="afe"/>
    <w:uiPriority w:val="99"/>
    <w:qFormat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e">
    <w:name w:val="Подзаголовок Знак"/>
    <w:basedOn w:val="a0"/>
    <w:link w:val="afd"/>
    <w:uiPriority w:val="99"/>
    <w:rPr>
      <w:rFonts w:ascii="Times New Roman" w:eastAsia="Times New Roman" w:hAnsi="Times New Roman" w:cs="Times New Roman"/>
      <w:sz w:val="24"/>
      <w:szCs w:val="20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25">
    <w:name w:val="Основной текст (2)_"/>
    <w:link w:val="26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320" w:lineRule="exact"/>
      <w:jc w:val="center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f6">
    <w:name w:val="Абзац списка Знак"/>
    <w:link w:val="af5"/>
    <w:uiPriority w:val="3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2351-0F02-4111-8813-670FE8E1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8207</Characters>
  <Application>Microsoft Office Word</Application>
  <DocSecurity>0</DocSecurity>
  <Lines>68</Lines>
  <Paragraphs>19</Paragraphs>
  <ScaleCrop>false</ScaleCrop>
  <Company>Microsoft</Company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kadr-2</cp:lastModifiedBy>
  <cp:revision>25</cp:revision>
  <dcterms:created xsi:type="dcterms:W3CDTF">2020-02-13T08:28:00Z</dcterms:created>
  <dcterms:modified xsi:type="dcterms:W3CDTF">2026-05-07T06:14:00Z</dcterms:modified>
</cp:coreProperties>
</file>